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B762D" w14:textId="77777777" w:rsidR="0017624A" w:rsidRDefault="00B62F3F">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pPr>
      <w:r>
        <w:rPr>
          <w:noProof/>
          <w:lang w:val="en-US"/>
        </w:rPr>
        <w:drawing>
          <wp:anchor distT="0" distB="0" distL="114300" distR="114300" simplePos="0" relativeHeight="251658240" behindDoc="0" locked="0" layoutInCell="1" hidden="0" allowOverlap="1" wp14:anchorId="15C0829E" wp14:editId="155FADFC">
            <wp:simplePos x="0" y="0"/>
            <wp:positionH relativeFrom="column">
              <wp:posOffset>-11430</wp:posOffset>
            </wp:positionH>
            <wp:positionV relativeFrom="paragraph">
              <wp:posOffset>138227</wp:posOffset>
            </wp:positionV>
            <wp:extent cx="509270" cy="504190"/>
            <wp:effectExtent l="0" t="0" r="508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71632" t="33616" r="16325" b="45178"/>
                    <a:stretch>
                      <a:fillRect/>
                    </a:stretch>
                  </pic:blipFill>
                  <pic:spPr>
                    <a:xfrm>
                      <a:off x="0" y="0"/>
                      <a:ext cx="509270" cy="50419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12A25412" wp14:editId="788000DD">
            <wp:simplePos x="0" y="0"/>
            <wp:positionH relativeFrom="column">
              <wp:posOffset>4465320</wp:posOffset>
            </wp:positionH>
            <wp:positionV relativeFrom="paragraph">
              <wp:posOffset>165100</wp:posOffset>
            </wp:positionV>
            <wp:extent cx="467360" cy="467995"/>
            <wp:effectExtent l="0" t="0" r="8890" b="825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67360" cy="467995"/>
                    </a:xfrm>
                    <a:prstGeom prst="rect">
                      <a:avLst/>
                    </a:prstGeom>
                    <a:ln/>
                  </pic:spPr>
                </pic:pic>
              </a:graphicData>
            </a:graphic>
          </wp:anchor>
        </w:drawing>
      </w:r>
    </w:p>
    <w:p w14:paraId="77B15CEF" w14:textId="77777777" w:rsidR="0017624A" w:rsidRDefault="0090622E">
      <w:pPr>
        <w:pBdr>
          <w:top w:val="none" w:sz="0" w:space="0" w:color="000000"/>
          <w:left w:val="none" w:sz="0" w:space="0" w:color="000000"/>
          <w:bottom w:val="none" w:sz="0" w:space="0" w:color="000000"/>
          <w:right w:val="none" w:sz="0" w:space="0" w:color="000000"/>
          <w:between w:val="none" w:sz="0" w:space="0" w:color="000000"/>
        </w:pBdr>
        <w:ind w:right="57"/>
        <w:jc w:val="center"/>
        <w:rPr>
          <w:rFonts w:ascii="Open Sans" w:eastAsia="Open Sans" w:hAnsi="Open Sans" w:cs="Open Sans"/>
          <w:color w:val="000000"/>
          <w:sz w:val="18"/>
          <w:szCs w:val="18"/>
        </w:rPr>
      </w:pPr>
      <w:r>
        <w:rPr>
          <w:rFonts w:ascii="Open Sans" w:eastAsia="Open Sans" w:hAnsi="Open Sans" w:cs="Open Sans"/>
          <w:b/>
          <w:i/>
          <w:color w:val="000000"/>
          <w:sz w:val="24"/>
          <w:szCs w:val="24"/>
        </w:rPr>
        <w:t>Bima Journal – Bussiness Management and Accounting</w:t>
      </w:r>
    </w:p>
    <w:p w14:paraId="6A472CB1" w14:textId="77777777" w:rsidR="0017624A" w:rsidRDefault="0090622E">
      <w:pPr>
        <w:pBdr>
          <w:top w:val="none" w:sz="0" w:space="0" w:color="000000"/>
          <w:left w:val="none" w:sz="0" w:space="0" w:color="000000"/>
          <w:bottom w:val="none" w:sz="0" w:space="0" w:color="000000"/>
          <w:right w:val="none" w:sz="0" w:space="0" w:color="000000"/>
          <w:between w:val="none" w:sz="0" w:space="0" w:color="000000"/>
        </w:pBdr>
        <w:ind w:right="57"/>
        <w:jc w:val="center"/>
        <w:rPr>
          <w:rFonts w:ascii="Open Sans" w:eastAsia="Open Sans" w:hAnsi="Open Sans" w:cs="Open Sans"/>
          <w:i/>
          <w:color w:val="000000"/>
          <w:sz w:val="16"/>
          <w:szCs w:val="16"/>
        </w:rPr>
      </w:pPr>
      <w:r>
        <w:rPr>
          <w:rFonts w:ascii="Open Sans" w:eastAsia="Open Sans" w:hAnsi="Open Sans" w:cs="Open Sans"/>
          <w:i/>
          <w:color w:val="000000"/>
          <w:sz w:val="16"/>
          <w:szCs w:val="16"/>
        </w:rPr>
        <w:t xml:space="preserve">Available online at : </w:t>
      </w:r>
      <w:r>
        <w:rPr>
          <w:rFonts w:ascii="Open Sans" w:eastAsia="Open Sans" w:hAnsi="Open Sans" w:cs="Open Sans"/>
          <w:b/>
          <w:i/>
          <w:color w:val="000000"/>
          <w:sz w:val="16"/>
          <w:szCs w:val="16"/>
        </w:rPr>
        <w:t xml:space="preserve"> </w:t>
      </w:r>
      <w:hyperlink r:id="rId11">
        <w:r>
          <w:rPr>
            <w:rFonts w:ascii="Open Sans" w:eastAsia="Open Sans" w:hAnsi="Open Sans" w:cs="Open Sans"/>
            <w:i/>
            <w:color w:val="0000FF"/>
            <w:sz w:val="16"/>
            <w:szCs w:val="16"/>
            <w:u w:val="single"/>
          </w:rPr>
          <w:t>http://journal.pdmbengkulu.org/index.php/bima</w:t>
        </w:r>
      </w:hyperlink>
    </w:p>
    <w:p w14:paraId="478A637C" w14:textId="77777777" w:rsidR="0017624A" w:rsidRDefault="0090622E">
      <w:pPr>
        <w:pBdr>
          <w:top w:val="none" w:sz="0" w:space="0" w:color="000000"/>
          <w:left w:val="none" w:sz="0" w:space="0" w:color="000000"/>
          <w:bottom w:val="single" w:sz="4" w:space="0" w:color="000000"/>
          <w:right w:val="none" w:sz="0" w:space="0" w:color="000000"/>
          <w:between w:val="none" w:sz="0" w:space="0" w:color="000000"/>
        </w:pBdr>
        <w:ind w:right="57"/>
        <w:jc w:val="center"/>
        <w:rPr>
          <w:rFonts w:ascii="Open Sans" w:eastAsia="Open Sans" w:hAnsi="Open Sans" w:cs="Open Sans"/>
          <w:color w:val="000000"/>
          <w:sz w:val="16"/>
          <w:szCs w:val="16"/>
        </w:rPr>
      </w:pPr>
      <w:r>
        <w:rPr>
          <w:rFonts w:ascii="Open Sans" w:eastAsia="Open Sans" w:hAnsi="Open Sans" w:cs="Open Sans"/>
          <w:color w:val="000000"/>
          <w:sz w:val="16"/>
          <w:szCs w:val="16"/>
        </w:rPr>
        <w:t xml:space="preserve">DOI: </w:t>
      </w:r>
      <w:r w:rsidR="00957197">
        <w:fldChar w:fldCharType="begin"/>
      </w:r>
      <w:r w:rsidR="00957197">
        <w:instrText xml:space="preserve"> HYPERLINK "https://doi.org/10.37638/bima.2.1.67-70" \h </w:instrText>
      </w:r>
      <w:r w:rsidR="00957197">
        <w:fldChar w:fldCharType="separate"/>
      </w:r>
      <w:r>
        <w:rPr>
          <w:rFonts w:ascii="Open Sans" w:eastAsia="Open Sans" w:hAnsi="Open Sans" w:cs="Open Sans"/>
          <w:color w:val="0000FF"/>
          <w:sz w:val="16"/>
          <w:szCs w:val="16"/>
          <w:u w:val="single"/>
        </w:rPr>
        <w:t>https://doi.org/10.37638/bima.2.1.67-70</w:t>
      </w:r>
      <w:r w:rsidR="00957197">
        <w:rPr>
          <w:rFonts w:ascii="Open Sans" w:eastAsia="Open Sans" w:hAnsi="Open Sans" w:cs="Open Sans"/>
          <w:color w:val="0000FF"/>
          <w:sz w:val="16"/>
          <w:szCs w:val="16"/>
          <w:u w:val="single"/>
        </w:rPr>
        <w:fldChar w:fldCharType="end"/>
      </w:r>
    </w:p>
    <w:p w14:paraId="23175614" w14:textId="77777777" w:rsidR="0017624A" w:rsidRDefault="0017624A">
      <w:pPr>
        <w:pBdr>
          <w:top w:val="none" w:sz="0" w:space="0" w:color="000000"/>
          <w:left w:val="none" w:sz="0" w:space="0" w:color="000000"/>
          <w:bottom w:val="single" w:sz="4" w:space="0" w:color="000000"/>
          <w:right w:val="none" w:sz="0" w:space="0" w:color="000000"/>
          <w:between w:val="none" w:sz="0" w:space="0" w:color="000000"/>
        </w:pBdr>
        <w:ind w:right="57"/>
        <w:rPr>
          <w:rFonts w:ascii="Calibri" w:eastAsia="Calibri" w:hAnsi="Calibri" w:cs="Calibri"/>
          <w:i/>
          <w:color w:val="000000"/>
          <w:sz w:val="10"/>
          <w:szCs w:val="10"/>
        </w:rPr>
      </w:pPr>
    </w:p>
    <w:p w14:paraId="514E026C" w14:textId="77777777" w:rsidR="0017624A" w:rsidRDefault="0017624A">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rPr>
      </w:pPr>
    </w:p>
    <w:p w14:paraId="38BFDC2D" w14:textId="6F3D962D" w:rsidR="003438E6" w:rsidRPr="00543B49" w:rsidRDefault="00DC4C77" w:rsidP="003438E6">
      <w:pPr>
        <w:pBdr>
          <w:top w:val="none" w:sz="0" w:space="0" w:color="000000"/>
          <w:left w:val="none" w:sz="0" w:space="0" w:color="000000"/>
          <w:bottom w:val="none" w:sz="0" w:space="0" w:color="000000"/>
          <w:right w:val="none" w:sz="0" w:space="0" w:color="000000"/>
          <w:between w:val="none" w:sz="0" w:space="0" w:color="000000"/>
        </w:pBdr>
        <w:jc w:val="center"/>
        <w:rPr>
          <w:rStyle w:val="BookTitle"/>
          <w:rFonts w:ascii="Open Sans" w:hAnsi="Open Sans"/>
          <w:sz w:val="24"/>
          <w:szCs w:val="24"/>
        </w:rPr>
      </w:pPr>
      <w:r w:rsidRPr="00DC4C77">
        <w:rPr>
          <w:rStyle w:val="BookTitle"/>
          <w:rFonts w:ascii="Open Sans" w:hAnsi="Open Sans"/>
          <w:sz w:val="24"/>
          <w:szCs w:val="24"/>
        </w:rPr>
        <w:t>The corporate social responsibility of publicly-owned banks is also a moderating factor that affects their returns</w:t>
      </w:r>
      <w:r w:rsidRPr="00543B49">
        <w:rPr>
          <w:rStyle w:val="BookTitle"/>
          <w:rFonts w:ascii="Open Sans" w:hAnsi="Open Sans"/>
          <w:sz w:val="24"/>
          <w:szCs w:val="24"/>
        </w:rPr>
        <w:t xml:space="preserve"> </w:t>
      </w:r>
      <w:r>
        <w:rPr>
          <w:rStyle w:val="BookTitle"/>
          <w:rFonts w:ascii="Open Sans" w:hAnsi="Open Sans"/>
          <w:sz w:val="24"/>
          <w:szCs w:val="24"/>
        </w:rPr>
        <w:t xml:space="preserve"> </w:t>
      </w:r>
    </w:p>
    <w:p w14:paraId="336E7640" w14:textId="77777777" w:rsidR="0017624A" w:rsidRPr="00543B49" w:rsidRDefault="0017624A">
      <w:pPr>
        <w:pBdr>
          <w:top w:val="none" w:sz="0" w:space="0" w:color="000000"/>
          <w:left w:val="none" w:sz="0" w:space="0" w:color="000000"/>
          <w:bottom w:val="none" w:sz="0" w:space="0" w:color="000000"/>
          <w:right w:val="none" w:sz="0" w:space="0" w:color="000000"/>
          <w:between w:val="none" w:sz="0" w:space="0" w:color="000000"/>
        </w:pBdr>
        <w:ind w:firstLine="567"/>
        <w:jc w:val="center"/>
        <w:rPr>
          <w:rFonts w:ascii="Open Sans" w:eastAsia="Open Sans" w:hAnsi="Open Sans" w:cs="Open Sans"/>
          <w:color w:val="000000"/>
          <w:sz w:val="24"/>
          <w:szCs w:val="24"/>
        </w:rPr>
      </w:pPr>
    </w:p>
    <w:p w14:paraId="2FBB4F2A" w14:textId="77777777" w:rsidR="0017624A" w:rsidRPr="00543B49" w:rsidRDefault="003438E6" w:rsidP="00543B49">
      <w:pPr>
        <w:pBdr>
          <w:top w:val="none" w:sz="0" w:space="0" w:color="000000"/>
          <w:left w:val="none" w:sz="0" w:space="0" w:color="000000"/>
          <w:bottom w:val="none" w:sz="0" w:space="0" w:color="000000"/>
          <w:right w:val="none" w:sz="0" w:space="0" w:color="000000"/>
          <w:between w:val="none" w:sz="0" w:space="0" w:color="000000"/>
        </w:pBdr>
        <w:jc w:val="center"/>
        <w:rPr>
          <w:rStyle w:val="author-ref"/>
          <w:rFonts w:ascii="Open Sans" w:eastAsia="Open Sans" w:hAnsi="Open Sans"/>
          <w:b/>
        </w:rPr>
      </w:pPr>
      <w:r w:rsidRPr="00543B49">
        <w:rPr>
          <w:rStyle w:val="author-ref"/>
          <w:rFonts w:ascii="Open Sans" w:eastAsia="Open Sans" w:hAnsi="Open Sans"/>
          <w:b/>
          <w:sz w:val="24"/>
          <w:szCs w:val="24"/>
        </w:rPr>
        <w:t xml:space="preserve"> </w:t>
      </w:r>
      <w:r w:rsidRPr="00543B49">
        <w:rPr>
          <w:rStyle w:val="author-ref"/>
          <w:rFonts w:ascii="Open Sans" w:eastAsia="Open Sans" w:hAnsi="Open Sans"/>
          <w:b/>
        </w:rPr>
        <w:t>Cholidatu Efafa Farahillah</w:t>
      </w:r>
      <w:r w:rsidR="004003C3" w:rsidRPr="00543B49">
        <w:rPr>
          <w:rStyle w:val="author-ref"/>
          <w:rFonts w:ascii="Open Sans" w:eastAsia="Open Sans" w:hAnsi="Open Sans"/>
          <w:b/>
          <w:vertAlign w:val="superscript"/>
          <w:lang w:val="en-US"/>
        </w:rPr>
        <w:t>1</w:t>
      </w:r>
      <w:r w:rsidR="008E659C">
        <w:rPr>
          <w:rStyle w:val="author-ref"/>
          <w:rFonts w:ascii="Open Sans" w:eastAsia="Open Sans" w:hAnsi="Open Sans"/>
          <w:b/>
          <w:vertAlign w:val="superscript"/>
          <w:lang w:val="en-US"/>
        </w:rPr>
        <w:t>)</w:t>
      </w:r>
      <w:r w:rsidRPr="00543B49">
        <w:rPr>
          <w:rStyle w:val="author-ref"/>
          <w:rFonts w:ascii="Open Sans" w:eastAsia="Open Sans" w:hAnsi="Open Sans"/>
          <w:b/>
        </w:rPr>
        <w:t xml:space="preserve">; </w:t>
      </w:r>
      <w:r w:rsidRPr="00543B49">
        <w:rPr>
          <w:rStyle w:val="author-ref"/>
          <w:rFonts w:ascii="Open Sans" w:hAnsi="Open Sans"/>
          <w:b/>
        </w:rPr>
        <w:t>Efriyani Sumastuti</w:t>
      </w:r>
      <w:r w:rsidR="004003C3" w:rsidRPr="00543B49">
        <w:rPr>
          <w:rStyle w:val="author-ref"/>
          <w:rFonts w:ascii="Open Sans" w:eastAsia="Open Sans" w:hAnsi="Open Sans"/>
          <w:b/>
          <w:vertAlign w:val="superscript"/>
          <w:lang w:val="en-US"/>
        </w:rPr>
        <w:t>2</w:t>
      </w:r>
      <w:r w:rsidR="008E659C">
        <w:rPr>
          <w:rStyle w:val="author-ref"/>
          <w:rFonts w:ascii="Open Sans" w:eastAsia="Open Sans" w:hAnsi="Open Sans"/>
          <w:b/>
          <w:vertAlign w:val="superscript"/>
          <w:lang w:val="en-US"/>
        </w:rPr>
        <w:t>)</w:t>
      </w:r>
      <w:r w:rsidRPr="00543B49">
        <w:rPr>
          <w:rStyle w:val="author-ref"/>
          <w:rFonts w:ascii="Open Sans" w:eastAsia="Open Sans" w:hAnsi="Open Sans"/>
          <w:b/>
        </w:rPr>
        <w:t xml:space="preserve">; </w:t>
      </w:r>
      <w:r w:rsidRPr="00543B49">
        <w:rPr>
          <w:rStyle w:val="author-ref"/>
          <w:rFonts w:ascii="Open Sans" w:hAnsi="Open Sans"/>
          <w:b/>
        </w:rPr>
        <w:t>Bayu Kurniawan</w:t>
      </w:r>
      <w:r w:rsidR="004003C3" w:rsidRPr="00543B49">
        <w:rPr>
          <w:rStyle w:val="author-ref"/>
          <w:rFonts w:ascii="Open Sans" w:eastAsia="Open Sans" w:hAnsi="Open Sans"/>
          <w:b/>
          <w:vertAlign w:val="superscript"/>
          <w:lang w:val="en-US"/>
        </w:rPr>
        <w:t>3</w:t>
      </w:r>
      <w:r w:rsidR="008E659C">
        <w:rPr>
          <w:rStyle w:val="author-ref"/>
          <w:rFonts w:ascii="Open Sans" w:eastAsia="Open Sans" w:hAnsi="Open Sans"/>
          <w:b/>
          <w:vertAlign w:val="superscript"/>
          <w:lang w:val="en-US"/>
        </w:rPr>
        <w:t>)</w:t>
      </w:r>
    </w:p>
    <w:p w14:paraId="3FD8D6E6" w14:textId="77777777" w:rsidR="0017624A" w:rsidRDefault="0017624A" w:rsidP="00543B49">
      <w:pPr>
        <w:jc w:val="center"/>
        <w:rPr>
          <w:rFonts w:ascii="Open Sans" w:hAnsi="Open Sans"/>
        </w:rPr>
      </w:pPr>
      <w:bookmarkStart w:id="0" w:name="_heading=h.gjdgxs" w:colFirst="0" w:colLast="0"/>
      <w:bookmarkStart w:id="1" w:name="_heading=h.rq9xjcv9ip5h" w:colFirst="0" w:colLast="0"/>
      <w:bookmarkEnd w:id="0"/>
      <w:bookmarkEnd w:id="1"/>
    </w:p>
    <w:p w14:paraId="7CB90AD2" w14:textId="77777777" w:rsidR="008E659C" w:rsidRPr="008E659C" w:rsidRDefault="008E659C" w:rsidP="008E659C">
      <w:pPr>
        <w:jc w:val="center"/>
        <w:rPr>
          <w:rFonts w:ascii="Open Sans" w:hAnsi="Open Sans"/>
          <w:b/>
          <w:i/>
          <w:sz w:val="18"/>
          <w:szCs w:val="18"/>
          <w:lang w:val="en-US"/>
        </w:rPr>
      </w:pPr>
      <w:r>
        <w:rPr>
          <w:rFonts w:ascii="Open Sans" w:hAnsi="Open Sans"/>
          <w:b/>
          <w:i/>
          <w:sz w:val="18"/>
          <w:szCs w:val="18"/>
          <w:vertAlign w:val="superscript"/>
          <w:lang w:val="en-US"/>
        </w:rPr>
        <w:t>1,2,3)</w:t>
      </w:r>
      <w:r>
        <w:rPr>
          <w:rFonts w:ascii="Open Sans" w:hAnsi="Open Sans"/>
          <w:b/>
          <w:i/>
          <w:sz w:val="18"/>
          <w:szCs w:val="18"/>
          <w:lang w:val="en-US"/>
        </w:rPr>
        <w:t xml:space="preserve"> </w:t>
      </w:r>
      <w:proofErr w:type="spellStart"/>
      <w:r w:rsidRPr="008E659C">
        <w:rPr>
          <w:rFonts w:ascii="Open Sans" w:hAnsi="Open Sans"/>
          <w:b/>
          <w:i/>
          <w:sz w:val="18"/>
          <w:szCs w:val="18"/>
          <w:lang w:val="en-US"/>
        </w:rPr>
        <w:t>Departemen</w:t>
      </w:r>
      <w:proofErr w:type="spellEnd"/>
      <w:r w:rsidRPr="008E659C">
        <w:rPr>
          <w:rFonts w:ascii="Open Sans" w:hAnsi="Open Sans"/>
          <w:b/>
          <w:i/>
          <w:sz w:val="18"/>
          <w:szCs w:val="18"/>
          <w:lang w:val="en-US"/>
        </w:rPr>
        <w:t xml:space="preserve"> of Management, Faculty of Economics and Business, Universitas PGRI Semarang</w:t>
      </w:r>
    </w:p>
    <w:p w14:paraId="61E10F40" w14:textId="77777777" w:rsidR="0017624A" w:rsidRPr="008E659C" w:rsidRDefault="00D46C23" w:rsidP="008E659C">
      <w:pPr>
        <w:jc w:val="center"/>
        <w:rPr>
          <w:rStyle w:val="Hyperlink"/>
          <w:rFonts w:ascii="Open Sans" w:hAnsi="Open Sans"/>
          <w:b/>
          <w:i/>
          <w:sz w:val="18"/>
          <w:szCs w:val="18"/>
        </w:rPr>
      </w:pPr>
      <w:proofErr w:type="spellStart"/>
      <w:r>
        <w:rPr>
          <w:rFonts w:ascii="Open Sans" w:eastAsia="Open Sans" w:hAnsi="Open Sans"/>
          <w:b/>
          <w:i/>
          <w:sz w:val="18"/>
          <w:szCs w:val="18"/>
          <w:lang w:val="en-US"/>
        </w:rPr>
        <w:t>Coresponden</w:t>
      </w:r>
      <w:proofErr w:type="spellEnd"/>
      <w:r>
        <w:rPr>
          <w:rFonts w:ascii="Open Sans" w:eastAsia="Open Sans" w:hAnsi="Open Sans"/>
          <w:b/>
          <w:i/>
          <w:sz w:val="18"/>
          <w:szCs w:val="18"/>
          <w:lang w:val="en-US"/>
        </w:rPr>
        <w:t xml:space="preserve"> Author:</w:t>
      </w:r>
      <w:r w:rsidR="00263AA9" w:rsidRPr="008E659C">
        <w:rPr>
          <w:rFonts w:ascii="Open Sans" w:eastAsia="Open Sans" w:hAnsi="Open Sans"/>
          <w:b/>
          <w:i/>
          <w:sz w:val="18"/>
          <w:szCs w:val="18"/>
        </w:rPr>
        <w:t xml:space="preserve"> </w:t>
      </w:r>
      <w:hyperlink r:id="rId12" w:history="1">
        <w:r w:rsidR="008E659C" w:rsidRPr="008E659C">
          <w:rPr>
            <w:rStyle w:val="Hyperlink"/>
            <w:rFonts w:ascii="Open Sans" w:hAnsi="Open Sans"/>
            <w:b/>
            <w:i/>
            <w:sz w:val="18"/>
            <w:szCs w:val="18"/>
          </w:rPr>
          <w:t>chldatuef@gmail.com</w:t>
        </w:r>
      </w:hyperlink>
    </w:p>
    <w:p w14:paraId="1212F8EC" w14:textId="77777777" w:rsidR="0017624A" w:rsidRDefault="0017624A">
      <w:pPr>
        <w:pBdr>
          <w:top w:val="none" w:sz="0" w:space="0" w:color="000000"/>
          <w:left w:val="none" w:sz="0" w:space="0" w:color="000000"/>
          <w:bottom w:val="single" w:sz="4" w:space="1" w:color="000000"/>
          <w:right w:val="none" w:sz="0" w:space="0" w:color="000000"/>
          <w:between w:val="none" w:sz="0" w:space="0" w:color="000000"/>
        </w:pBdr>
        <w:ind w:left="-142" w:right="57"/>
        <w:rPr>
          <w:rFonts w:ascii="Open Sans" w:eastAsia="Open Sans" w:hAnsi="Open Sans" w:cs="Open Sans"/>
          <w:i/>
          <w:color w:val="000000"/>
          <w:sz w:val="18"/>
          <w:szCs w:val="18"/>
        </w:rPr>
      </w:pPr>
    </w:p>
    <w:p w14:paraId="7CE43412" w14:textId="77777777" w:rsidR="0017624A" w:rsidRDefault="0090622E">
      <w:pPr>
        <w:pBdr>
          <w:top w:val="none" w:sz="0" w:space="0" w:color="000000"/>
          <w:left w:val="none" w:sz="0" w:space="0" w:color="000000"/>
          <w:bottom w:val="none" w:sz="0" w:space="0" w:color="000000"/>
          <w:right w:val="none" w:sz="0" w:space="0" w:color="000000"/>
          <w:between w:val="none" w:sz="0" w:space="0" w:color="000000"/>
        </w:pBdr>
        <w:spacing w:before="40"/>
        <w:rPr>
          <w:rFonts w:ascii="Open Sans" w:eastAsia="Open Sans" w:hAnsi="Open Sans" w:cs="Open Sans"/>
          <w:i/>
          <w:color w:val="000000"/>
          <w:sz w:val="18"/>
          <w:szCs w:val="18"/>
        </w:rPr>
      </w:pPr>
      <w:bookmarkStart w:id="2" w:name="_heading=h.30j0zll" w:colFirst="0" w:colLast="0"/>
      <w:bookmarkEnd w:id="2"/>
      <w:r>
        <w:rPr>
          <w:rFonts w:ascii="Open Sans" w:eastAsia="Open Sans" w:hAnsi="Open Sans" w:cs="Open Sans"/>
          <w:b/>
          <w:i/>
          <w:color w:val="000000"/>
          <w:sz w:val="18"/>
          <w:szCs w:val="18"/>
        </w:rPr>
        <w:t xml:space="preserve">How to Cite : </w:t>
      </w:r>
    </w:p>
    <w:p w14:paraId="59AE9B89" w14:textId="77777777" w:rsidR="0017624A" w:rsidRDefault="0090622E">
      <w:pPr>
        <w:pBdr>
          <w:top w:val="none" w:sz="0" w:space="0" w:color="000000"/>
          <w:left w:val="none" w:sz="0" w:space="0" w:color="000000"/>
          <w:bottom w:val="none" w:sz="0" w:space="0" w:color="000000"/>
          <w:right w:val="none" w:sz="0" w:space="0" w:color="000000"/>
          <w:between w:val="none" w:sz="0" w:space="0" w:color="000000"/>
        </w:pBdr>
        <w:spacing w:after="120"/>
        <w:ind w:left="947" w:hanging="720"/>
        <w:jc w:val="both"/>
        <w:rPr>
          <w:rFonts w:ascii="Open Sans" w:eastAsia="Open Sans" w:hAnsi="Open Sans" w:cs="Open Sans"/>
          <w:color w:val="000000"/>
        </w:rPr>
        <w:sectPr w:rsidR="0017624A">
          <w:headerReference w:type="even" r:id="rId13"/>
          <w:headerReference w:type="default" r:id="rId14"/>
          <w:footerReference w:type="even" r:id="rId15"/>
          <w:footerReference w:type="default" r:id="rId16"/>
          <w:headerReference w:type="first" r:id="rId17"/>
          <w:footerReference w:type="first" r:id="rId18"/>
          <w:pgSz w:w="10319" w:h="14571"/>
          <w:pgMar w:top="284" w:right="1134" w:bottom="1418" w:left="1418" w:header="936" w:footer="879" w:gutter="0"/>
          <w:pgNumType w:start="67"/>
          <w:cols w:space="720"/>
          <w:titlePg/>
        </w:sectPr>
      </w:pPr>
      <w:bookmarkStart w:id="3" w:name="_heading=h.1fob9te" w:colFirst="0" w:colLast="0"/>
      <w:bookmarkEnd w:id="3"/>
      <w:r>
        <w:rPr>
          <w:rFonts w:ascii="Open Sans" w:eastAsia="Open Sans" w:hAnsi="Open Sans" w:cs="Open Sans"/>
          <w:color w:val="000000"/>
          <w:sz w:val="18"/>
          <w:szCs w:val="18"/>
          <w:highlight w:val="white"/>
        </w:rPr>
        <w:t xml:space="preserve">Bima, A.,  (2023). </w:t>
      </w:r>
      <w:r>
        <w:rPr>
          <w:rFonts w:ascii="Open Sans" w:eastAsia="Open Sans" w:hAnsi="Open Sans" w:cs="Open Sans"/>
          <w:i/>
          <w:color w:val="000000"/>
          <w:sz w:val="18"/>
          <w:szCs w:val="18"/>
        </w:rPr>
        <w:t>The Influence Of Innovation And Creativity Traders On Consumer's Repurchasing Interest In Merasi Stir-Fried Noodles Bengkulu City</w:t>
      </w:r>
      <w:r>
        <w:rPr>
          <w:rFonts w:ascii="Open Sans" w:eastAsia="Open Sans" w:hAnsi="Open Sans" w:cs="Open Sans"/>
          <w:color w:val="000000"/>
          <w:sz w:val="18"/>
          <w:szCs w:val="18"/>
          <w:highlight w:val="white"/>
        </w:rPr>
        <w:t xml:space="preserve">. </w:t>
      </w:r>
      <w:r>
        <w:rPr>
          <w:rFonts w:ascii="Open Sans" w:eastAsia="Open Sans" w:hAnsi="Open Sans" w:cs="Open Sans"/>
          <w:i/>
          <w:color w:val="000000"/>
          <w:sz w:val="18"/>
          <w:szCs w:val="18"/>
        </w:rPr>
        <w:t>Bima Journal : Business, Management and Accounting Journal</w:t>
      </w:r>
      <w:r>
        <w:rPr>
          <w:rFonts w:ascii="Open Sans" w:eastAsia="Open Sans" w:hAnsi="Open Sans" w:cs="Open Sans"/>
          <w:i/>
          <w:color w:val="000000"/>
          <w:sz w:val="18"/>
          <w:szCs w:val="18"/>
          <w:highlight w:val="white"/>
        </w:rPr>
        <w:t xml:space="preserve">, 2 </w:t>
      </w:r>
      <w:r>
        <w:rPr>
          <w:rFonts w:ascii="Open Sans" w:eastAsia="Open Sans" w:hAnsi="Open Sans" w:cs="Open Sans"/>
          <w:color w:val="000000"/>
          <w:sz w:val="18"/>
          <w:szCs w:val="18"/>
          <w:highlight w:val="white"/>
        </w:rPr>
        <w:t>(1).</w:t>
      </w:r>
      <w:r>
        <w:rPr>
          <w:rFonts w:ascii="Open Sans" w:eastAsia="Open Sans" w:hAnsi="Open Sans" w:cs="Open Sans"/>
          <w:color w:val="000000"/>
        </w:rPr>
        <w:t xml:space="preserve"> </w:t>
      </w:r>
      <w:r>
        <w:rPr>
          <w:rFonts w:ascii="Open Sans" w:eastAsia="Open Sans" w:hAnsi="Open Sans" w:cs="Open Sans"/>
          <w:color w:val="000000"/>
          <w:sz w:val="18"/>
          <w:szCs w:val="18"/>
        </w:rPr>
        <w:t xml:space="preserve">DOI: </w:t>
      </w:r>
      <w:hyperlink r:id="rId19">
        <w:r>
          <w:rPr>
            <w:rFonts w:ascii="Open Sans" w:eastAsia="Open Sans" w:hAnsi="Open Sans" w:cs="Open Sans"/>
            <w:color w:val="0000FF"/>
            <w:sz w:val="18"/>
            <w:szCs w:val="18"/>
            <w:u w:val="single"/>
          </w:rPr>
          <w:t>https://doi.org/10.37638/bima.2.1.67-7</w:t>
        </w:r>
      </w:hyperlink>
    </w:p>
    <w:p w14:paraId="1A91C07F" w14:textId="77777777" w:rsidR="0017624A" w:rsidRDefault="0017624A">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rPr>
          <w:rFonts w:ascii="Open Sans" w:eastAsia="Open Sans" w:hAnsi="Open Sans" w:cs="Open Sans"/>
          <w:color w:val="000000"/>
        </w:rPr>
      </w:pPr>
    </w:p>
    <w:tbl>
      <w:tblPr>
        <w:tblStyle w:val="2"/>
        <w:tblW w:w="7766"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489"/>
        <w:gridCol w:w="5277"/>
      </w:tblGrid>
      <w:tr w:rsidR="008B515A" w:rsidRPr="008B515A" w14:paraId="2870261E" w14:textId="77777777">
        <w:trPr>
          <w:trHeight w:val="1577"/>
        </w:trPr>
        <w:tc>
          <w:tcPr>
            <w:tcW w:w="2489" w:type="dxa"/>
            <w:tcBorders>
              <w:top w:val="single" w:sz="4" w:space="0" w:color="000000"/>
              <w:left w:val="nil"/>
              <w:bottom w:val="nil"/>
              <w:right w:val="nil"/>
            </w:tcBorders>
            <w:tcMar>
              <w:top w:w="0" w:type="dxa"/>
              <w:left w:w="108" w:type="dxa"/>
              <w:bottom w:w="0" w:type="dxa"/>
              <w:right w:w="108" w:type="dxa"/>
            </w:tcMar>
            <w:vAlign w:val="center"/>
          </w:tcPr>
          <w:p w14:paraId="649286ED" w14:textId="77777777" w:rsidR="0017624A" w:rsidRPr="008B515A" w:rsidRDefault="0090622E">
            <w:pPr>
              <w:pBdr>
                <w:top w:val="none" w:sz="0" w:space="0" w:color="000000"/>
                <w:left w:val="none" w:sz="0" w:space="0" w:color="000000"/>
                <w:bottom w:val="none" w:sz="0" w:space="0" w:color="000000"/>
                <w:right w:val="none" w:sz="0" w:space="0" w:color="000000"/>
                <w:between w:val="none" w:sz="0" w:space="0" w:color="000000"/>
              </w:pBdr>
              <w:rPr>
                <w:rFonts w:ascii="Open Sans" w:eastAsia="Open Sans" w:hAnsi="Open Sans" w:cs="Open Sans"/>
                <w:color w:val="auto"/>
                <w:sz w:val="16"/>
                <w:szCs w:val="16"/>
              </w:rPr>
            </w:pPr>
            <w:r w:rsidRPr="008B515A">
              <w:rPr>
                <w:rFonts w:ascii="Open Sans" w:eastAsia="Open Sans" w:hAnsi="Open Sans" w:cs="Open Sans"/>
                <w:b/>
                <w:color w:val="auto"/>
                <w:sz w:val="16"/>
                <w:szCs w:val="16"/>
              </w:rPr>
              <w:t>ARTICLE HISTORY</w:t>
            </w:r>
          </w:p>
          <w:p w14:paraId="644F142D" w14:textId="77777777" w:rsidR="0017624A" w:rsidRPr="008B515A" w:rsidRDefault="0090622E">
            <w:pPr>
              <w:pBdr>
                <w:top w:val="none" w:sz="0" w:space="0" w:color="000000"/>
                <w:left w:val="none" w:sz="0" w:space="0" w:color="000000"/>
                <w:bottom w:val="none" w:sz="0" w:space="0" w:color="000000"/>
                <w:right w:val="none" w:sz="0" w:space="0" w:color="000000"/>
                <w:between w:val="none" w:sz="0" w:space="0" w:color="000000"/>
              </w:pBdr>
              <w:ind w:left="284" w:right="57" w:firstLine="0"/>
              <w:rPr>
                <w:rFonts w:ascii="Open Sans" w:eastAsia="Open Sans" w:hAnsi="Open Sans" w:cs="Open Sans"/>
                <w:i/>
                <w:color w:val="auto"/>
                <w:sz w:val="16"/>
                <w:szCs w:val="16"/>
              </w:rPr>
            </w:pPr>
            <w:r w:rsidRPr="008B515A">
              <w:rPr>
                <w:rFonts w:ascii="Open Sans" w:eastAsia="Open Sans" w:hAnsi="Open Sans" w:cs="Open Sans"/>
                <w:i/>
                <w:color w:val="auto"/>
                <w:sz w:val="16"/>
                <w:szCs w:val="16"/>
              </w:rPr>
              <w:t xml:space="preserve">Received [xx Month xxxx] </w:t>
            </w:r>
          </w:p>
          <w:p w14:paraId="48C5F9A2" w14:textId="77777777" w:rsidR="0017624A" w:rsidRPr="008B515A" w:rsidRDefault="0090622E">
            <w:pPr>
              <w:pBdr>
                <w:top w:val="none" w:sz="0" w:space="0" w:color="000000"/>
                <w:left w:val="none" w:sz="0" w:space="0" w:color="000000"/>
                <w:bottom w:val="none" w:sz="0" w:space="0" w:color="000000"/>
                <w:right w:val="none" w:sz="0" w:space="0" w:color="000000"/>
                <w:between w:val="none" w:sz="0" w:space="0" w:color="000000"/>
              </w:pBdr>
              <w:ind w:left="284" w:right="57" w:firstLine="0"/>
              <w:rPr>
                <w:rFonts w:ascii="Open Sans" w:eastAsia="Open Sans" w:hAnsi="Open Sans" w:cs="Open Sans"/>
                <w:i/>
                <w:color w:val="auto"/>
                <w:sz w:val="16"/>
                <w:szCs w:val="16"/>
              </w:rPr>
            </w:pPr>
            <w:r w:rsidRPr="008B515A">
              <w:rPr>
                <w:rFonts w:ascii="Open Sans" w:eastAsia="Open Sans" w:hAnsi="Open Sans" w:cs="Open Sans"/>
                <w:i/>
                <w:color w:val="auto"/>
                <w:sz w:val="16"/>
                <w:szCs w:val="16"/>
              </w:rPr>
              <w:t xml:space="preserve">Revised [xx Month xxxx] </w:t>
            </w:r>
          </w:p>
          <w:p w14:paraId="6E069C48" w14:textId="77777777" w:rsidR="0017624A" w:rsidRPr="008B515A" w:rsidRDefault="0090622E">
            <w:pPr>
              <w:pBdr>
                <w:top w:val="none" w:sz="0" w:space="0" w:color="000000"/>
                <w:left w:val="none" w:sz="0" w:space="0" w:color="000000"/>
                <w:bottom w:val="none" w:sz="0" w:space="0" w:color="000000"/>
                <w:right w:val="none" w:sz="0" w:space="0" w:color="000000"/>
                <w:between w:val="none" w:sz="0" w:space="0" w:color="000000"/>
              </w:pBdr>
              <w:ind w:left="284" w:right="57" w:firstLine="0"/>
              <w:rPr>
                <w:rFonts w:ascii="Open Sans" w:eastAsia="Open Sans" w:hAnsi="Open Sans" w:cs="Open Sans"/>
                <w:i/>
                <w:color w:val="auto"/>
                <w:sz w:val="16"/>
                <w:szCs w:val="16"/>
              </w:rPr>
            </w:pPr>
            <w:r w:rsidRPr="008B515A">
              <w:rPr>
                <w:rFonts w:ascii="Open Sans" w:eastAsia="Open Sans" w:hAnsi="Open Sans" w:cs="Open Sans"/>
                <w:i/>
                <w:color w:val="auto"/>
                <w:sz w:val="16"/>
                <w:szCs w:val="16"/>
              </w:rPr>
              <w:t>Accepted [xx Month xxxx]</w:t>
            </w:r>
          </w:p>
        </w:tc>
        <w:tc>
          <w:tcPr>
            <w:tcW w:w="5277" w:type="dxa"/>
            <w:vMerge w:val="restart"/>
            <w:tcBorders>
              <w:top w:val="single" w:sz="4" w:space="0" w:color="000000"/>
              <w:left w:val="nil"/>
              <w:bottom w:val="single" w:sz="4" w:space="0" w:color="000000"/>
              <w:right w:val="nil"/>
            </w:tcBorders>
            <w:tcMar>
              <w:top w:w="0" w:type="dxa"/>
              <w:left w:w="108" w:type="dxa"/>
              <w:bottom w:w="0" w:type="dxa"/>
              <w:right w:w="108" w:type="dxa"/>
            </w:tcMar>
          </w:tcPr>
          <w:p w14:paraId="0EA66D98" w14:textId="77777777" w:rsidR="0017624A" w:rsidRPr="008B515A" w:rsidRDefault="00263AA9" w:rsidP="00263AA9">
            <w:pPr>
              <w:pStyle w:val="CABSTRACT"/>
              <w:ind w:left="0" w:hanging="2"/>
              <w:rPr>
                <w:rFonts w:asciiTheme="minorHAnsi" w:hAnsiTheme="minorHAnsi"/>
                <w:b/>
                <w:color w:val="auto"/>
              </w:rPr>
            </w:pPr>
            <w:r w:rsidRPr="008B515A">
              <w:rPr>
                <w:b/>
                <w:color w:val="auto"/>
              </w:rPr>
              <w:t>ABSTRACT</w:t>
            </w:r>
          </w:p>
          <w:p w14:paraId="21C72860" w14:textId="77777777" w:rsidR="00A952E5" w:rsidRPr="008D1B46" w:rsidRDefault="00C36357" w:rsidP="0031529C">
            <w:pPr>
              <w:pStyle w:val="CABSTRACT"/>
              <w:ind w:left="0" w:hanging="2"/>
              <w:rPr>
                <w:rFonts w:eastAsia="Open Sans" w:cs="Open Sans"/>
                <w:color w:val="auto"/>
                <w:szCs w:val="18"/>
                <w:lang w:val="en-US"/>
              </w:rPr>
            </w:pPr>
            <w:r w:rsidRPr="008D1B46">
              <w:rPr>
                <w:rFonts w:eastAsia="Open Sans" w:cs="Open Sans"/>
                <w:color w:val="auto"/>
                <w:szCs w:val="18"/>
                <w:lang w:val="en-US"/>
              </w:rPr>
              <w:t>This r</w:t>
            </w:r>
            <w:r w:rsidR="00A952E5" w:rsidRPr="008D1B46">
              <w:rPr>
                <w:rFonts w:eastAsia="Open Sans" w:cs="Open Sans"/>
                <w:color w:val="auto"/>
                <w:szCs w:val="18"/>
                <w:lang w:val="en-US"/>
              </w:rPr>
              <w:t>esearch examines how profitability (measured by ret</w:t>
            </w:r>
            <w:r w:rsidRPr="008D1B46">
              <w:rPr>
                <w:rFonts w:eastAsia="Open Sans" w:cs="Open Sans"/>
                <w:color w:val="auto"/>
                <w:szCs w:val="18"/>
                <w:lang w:val="en-US"/>
              </w:rPr>
              <w:t>urn</w:t>
            </w:r>
            <w:r w:rsidR="00B1227E" w:rsidRPr="008D1B46">
              <w:rPr>
                <w:rFonts w:eastAsia="Open Sans" w:cs="Open Sans"/>
                <w:color w:val="auto"/>
                <w:szCs w:val="18"/>
                <w:lang w:val="en-US"/>
              </w:rPr>
              <w:t xml:space="preserve"> on asset</w:t>
            </w:r>
            <w:r w:rsidRPr="008D1B46">
              <w:rPr>
                <w:rFonts w:eastAsia="Open Sans" w:cs="Open Sans"/>
                <w:color w:val="auto"/>
                <w:szCs w:val="18"/>
                <w:lang w:val="en-US"/>
              </w:rPr>
              <w:t>s and return on equity) affects a company’s value. It also explores whether corporate social responsibility strengthens or weakens this relationship. The study focuses on state-owned banks listed in Indonesia from 2013 to 2022 (</w:t>
            </w:r>
            <w:r w:rsidR="008D1B46" w:rsidRPr="008D1B46">
              <w:rPr>
                <w:rFonts w:eastAsia="Open Sans" w:cs="Open Sans"/>
                <w:color w:val="auto"/>
                <w:szCs w:val="18"/>
                <w:lang w:val="en-US"/>
              </w:rPr>
              <w:t>4 companie</w:t>
            </w:r>
            <w:r w:rsidRPr="008D1B46">
              <w:rPr>
                <w:rFonts w:eastAsia="Open Sans" w:cs="Open Sans"/>
                <w:color w:val="auto"/>
                <w:szCs w:val="18"/>
                <w:lang w:val="en-US"/>
              </w:rPr>
              <w:t>s total). Data from their financial statements was used to analyze all 160 quarters (saturated sample). Using a special statistical method (Partial Least Square), the research found that both profitability measures positively impact company value. Interesting</w:t>
            </w:r>
            <w:r w:rsidR="008D1B46" w:rsidRPr="008D1B46">
              <w:rPr>
                <w:rFonts w:eastAsia="Open Sans" w:cs="Open Sans"/>
                <w:color w:val="auto"/>
                <w:szCs w:val="18"/>
                <w:lang w:val="en-US"/>
              </w:rPr>
              <w:t>ly, corporate social responsibility can either amplify or dampen this effect, depending on the specific measure of profitability.</w:t>
            </w:r>
          </w:p>
          <w:p w14:paraId="7064C1A4" w14:textId="77777777" w:rsidR="0017624A" w:rsidRPr="008B515A" w:rsidRDefault="0017624A">
            <w:pPr>
              <w:pBdr>
                <w:top w:val="none" w:sz="0" w:space="0" w:color="000000"/>
                <w:left w:val="none" w:sz="0" w:space="0" w:color="000000"/>
                <w:bottom w:val="none" w:sz="0" w:space="0" w:color="000000"/>
                <w:right w:val="none" w:sz="0" w:space="0" w:color="000000"/>
                <w:between w:val="none" w:sz="0" w:space="0" w:color="000000"/>
              </w:pBdr>
              <w:ind w:left="284" w:right="113" w:firstLine="0"/>
              <w:jc w:val="right"/>
              <w:rPr>
                <w:i/>
                <w:color w:val="auto"/>
                <w:sz w:val="16"/>
                <w:szCs w:val="16"/>
              </w:rPr>
            </w:pPr>
          </w:p>
          <w:p w14:paraId="64659774" w14:textId="77777777" w:rsidR="0017624A" w:rsidRPr="008B515A" w:rsidRDefault="0090622E">
            <w:pPr>
              <w:pBdr>
                <w:top w:val="none" w:sz="0" w:space="0" w:color="000000"/>
                <w:left w:val="none" w:sz="0" w:space="0" w:color="000000"/>
                <w:bottom w:val="none" w:sz="0" w:space="0" w:color="000000"/>
                <w:right w:val="none" w:sz="0" w:space="0" w:color="000000"/>
                <w:between w:val="none" w:sz="0" w:space="0" w:color="000000"/>
              </w:pBdr>
              <w:ind w:left="284" w:right="113" w:firstLine="0"/>
              <w:jc w:val="right"/>
              <w:rPr>
                <w:rFonts w:ascii="Open Sans" w:eastAsia="Open Sans" w:hAnsi="Open Sans" w:cs="Open Sans"/>
                <w:i/>
                <w:color w:val="auto"/>
                <w:sz w:val="18"/>
                <w:szCs w:val="18"/>
              </w:rPr>
            </w:pPr>
            <w:r w:rsidRPr="008B515A">
              <w:rPr>
                <w:b/>
                <w:i/>
                <w:color w:val="auto"/>
                <w:sz w:val="16"/>
                <w:szCs w:val="16"/>
              </w:rPr>
              <w:t>.</w:t>
            </w:r>
          </w:p>
        </w:tc>
      </w:tr>
      <w:tr w:rsidR="008B515A" w:rsidRPr="008B515A" w14:paraId="35709B0C" w14:textId="77777777">
        <w:trPr>
          <w:trHeight w:val="1996"/>
        </w:trPr>
        <w:tc>
          <w:tcPr>
            <w:tcW w:w="2489" w:type="dxa"/>
            <w:tcBorders>
              <w:top w:val="nil"/>
              <w:left w:val="nil"/>
              <w:bottom w:val="single" w:sz="4" w:space="0" w:color="000000"/>
              <w:right w:val="nil"/>
            </w:tcBorders>
            <w:tcMar>
              <w:top w:w="0" w:type="dxa"/>
              <w:left w:w="108" w:type="dxa"/>
              <w:bottom w:w="0" w:type="dxa"/>
              <w:right w:w="108" w:type="dxa"/>
            </w:tcMar>
            <w:vAlign w:val="center"/>
          </w:tcPr>
          <w:p w14:paraId="717312BB" w14:textId="77777777" w:rsidR="0017624A" w:rsidRPr="008B515A" w:rsidRDefault="0090622E">
            <w:pPr>
              <w:pBdr>
                <w:top w:val="none" w:sz="0" w:space="0" w:color="000000"/>
                <w:left w:val="none" w:sz="0" w:space="0" w:color="000000"/>
                <w:bottom w:val="none" w:sz="0" w:space="0" w:color="000000"/>
                <w:right w:val="none" w:sz="0" w:space="0" w:color="000000"/>
                <w:between w:val="none" w:sz="0" w:space="0" w:color="000000"/>
              </w:pBdr>
              <w:ind w:right="57"/>
              <w:rPr>
                <w:rFonts w:ascii="Open Sans" w:eastAsia="Open Sans" w:hAnsi="Open Sans" w:cs="Open Sans"/>
                <w:i/>
                <w:color w:val="auto"/>
                <w:sz w:val="16"/>
                <w:szCs w:val="16"/>
              </w:rPr>
            </w:pPr>
            <w:r w:rsidRPr="008B515A">
              <w:rPr>
                <w:rFonts w:ascii="Open Sans" w:eastAsia="Open Sans" w:hAnsi="Open Sans" w:cs="Open Sans"/>
                <w:b/>
                <w:i/>
                <w:color w:val="auto"/>
                <w:sz w:val="16"/>
                <w:szCs w:val="16"/>
              </w:rPr>
              <w:t>KEYWORDS</w:t>
            </w:r>
          </w:p>
          <w:p w14:paraId="66A274DC" w14:textId="77777777" w:rsidR="00BC4D52" w:rsidRPr="008B515A" w:rsidRDefault="00BC4D52" w:rsidP="00BC4D52">
            <w:pPr>
              <w:pStyle w:val="KEYWORDS"/>
              <w:ind w:left="0" w:hanging="2"/>
              <w:rPr>
                <w:color w:val="auto"/>
                <w:lang w:val="en-US"/>
              </w:rPr>
            </w:pPr>
            <w:r w:rsidRPr="008B515A">
              <w:rPr>
                <w:color w:val="auto"/>
                <w:lang w:val="en-US"/>
              </w:rPr>
              <w:t>Return On Asset</w:t>
            </w:r>
          </w:p>
          <w:p w14:paraId="016A0F8A" w14:textId="77777777" w:rsidR="00BC4D52" w:rsidRPr="008B515A" w:rsidRDefault="00BC4D52" w:rsidP="00BC4D52">
            <w:pPr>
              <w:pStyle w:val="KEYWORDS"/>
              <w:ind w:left="0" w:hanging="2"/>
              <w:rPr>
                <w:color w:val="auto"/>
                <w:lang w:val="en-US"/>
              </w:rPr>
            </w:pPr>
            <w:r w:rsidRPr="008B515A">
              <w:rPr>
                <w:color w:val="auto"/>
                <w:lang w:val="en-US"/>
              </w:rPr>
              <w:t>Return On Equity</w:t>
            </w:r>
          </w:p>
          <w:p w14:paraId="5CE2DF06" w14:textId="77777777" w:rsidR="00BC4D52" w:rsidRPr="008B515A" w:rsidRDefault="0031529C" w:rsidP="00BC4D52">
            <w:pPr>
              <w:pStyle w:val="KEYWORDS"/>
              <w:ind w:left="0" w:hanging="2"/>
              <w:rPr>
                <w:color w:val="auto"/>
                <w:lang w:val="en-US"/>
              </w:rPr>
            </w:pPr>
            <w:r w:rsidRPr="008B515A">
              <w:rPr>
                <w:color w:val="auto"/>
                <w:lang w:val="en-US"/>
              </w:rPr>
              <w:t xml:space="preserve">Corporate </w:t>
            </w:r>
            <w:r w:rsidR="00BC4D52" w:rsidRPr="008B515A">
              <w:rPr>
                <w:color w:val="auto"/>
                <w:lang w:val="en-US"/>
              </w:rPr>
              <w:t>Social Responsibility</w:t>
            </w:r>
            <w:r w:rsidRPr="008B515A">
              <w:rPr>
                <w:color w:val="auto"/>
                <w:lang w:val="en-US"/>
              </w:rPr>
              <w:t xml:space="preserve"> </w:t>
            </w:r>
          </w:p>
          <w:p w14:paraId="0692C45F" w14:textId="77777777" w:rsidR="0017624A" w:rsidRPr="008B515A" w:rsidRDefault="0031529C" w:rsidP="00BC4D52">
            <w:pPr>
              <w:pStyle w:val="KEYWORDS"/>
              <w:ind w:left="0" w:hanging="2"/>
              <w:rPr>
                <w:color w:val="auto"/>
                <w:lang w:val="en-US"/>
              </w:rPr>
            </w:pPr>
            <w:r w:rsidRPr="008B515A">
              <w:rPr>
                <w:color w:val="auto"/>
                <w:lang w:val="en-US"/>
              </w:rPr>
              <w:t>Company Value</w:t>
            </w:r>
          </w:p>
        </w:tc>
        <w:tc>
          <w:tcPr>
            <w:tcW w:w="5277" w:type="dxa"/>
            <w:vMerge/>
            <w:tcBorders>
              <w:top w:val="single" w:sz="4" w:space="0" w:color="000000"/>
              <w:left w:val="nil"/>
              <w:bottom w:val="single" w:sz="4" w:space="0" w:color="000000"/>
              <w:right w:val="nil"/>
            </w:tcBorders>
            <w:tcMar>
              <w:top w:w="0" w:type="dxa"/>
              <w:left w:w="108" w:type="dxa"/>
              <w:bottom w:w="0" w:type="dxa"/>
              <w:right w:w="108" w:type="dxa"/>
            </w:tcMar>
          </w:tcPr>
          <w:p w14:paraId="478431A0" w14:textId="77777777" w:rsidR="0017624A" w:rsidRPr="008B515A" w:rsidRDefault="0017624A">
            <w:pPr>
              <w:widowControl w:val="0"/>
              <w:pBdr>
                <w:top w:val="nil"/>
                <w:left w:val="nil"/>
                <w:bottom w:val="nil"/>
                <w:right w:val="nil"/>
                <w:between w:val="nil"/>
              </w:pBdr>
              <w:spacing w:line="276" w:lineRule="auto"/>
              <w:ind w:firstLine="0"/>
              <w:rPr>
                <w:rFonts w:ascii="Open Sans" w:eastAsia="Open Sans" w:hAnsi="Open Sans" w:cs="Open Sans"/>
                <w:i/>
                <w:color w:val="auto"/>
                <w:sz w:val="16"/>
                <w:szCs w:val="16"/>
              </w:rPr>
            </w:pPr>
          </w:p>
        </w:tc>
      </w:tr>
      <w:tr w:rsidR="008B515A" w:rsidRPr="008B515A" w14:paraId="5F87242A" w14:textId="77777777" w:rsidTr="0031529C">
        <w:trPr>
          <w:trHeight w:val="1110"/>
        </w:trPr>
        <w:tc>
          <w:tcPr>
            <w:tcW w:w="2489" w:type="dxa"/>
            <w:tcBorders>
              <w:top w:val="nil"/>
              <w:left w:val="nil"/>
              <w:bottom w:val="single" w:sz="4" w:space="0" w:color="000000"/>
              <w:right w:val="nil"/>
            </w:tcBorders>
            <w:tcMar>
              <w:top w:w="0" w:type="dxa"/>
              <w:left w:w="108" w:type="dxa"/>
              <w:bottom w:w="0" w:type="dxa"/>
              <w:right w:w="108" w:type="dxa"/>
            </w:tcMar>
            <w:vAlign w:val="center"/>
          </w:tcPr>
          <w:p w14:paraId="3BF8DF9F" w14:textId="77777777" w:rsidR="0017624A" w:rsidRPr="008B515A" w:rsidRDefault="0090622E">
            <w:pPr>
              <w:pBdr>
                <w:top w:val="none" w:sz="0" w:space="0" w:color="000000"/>
                <w:left w:val="none" w:sz="0" w:space="0" w:color="000000"/>
                <w:bottom w:val="none" w:sz="0" w:space="0" w:color="000000"/>
                <w:right w:val="none" w:sz="0" w:space="0" w:color="000000"/>
                <w:between w:val="none" w:sz="0" w:space="0" w:color="000000"/>
              </w:pBdr>
              <w:ind w:right="57"/>
              <w:rPr>
                <w:rFonts w:ascii="Open Sans" w:eastAsia="Open Sans" w:hAnsi="Open Sans" w:cs="Open Sans"/>
                <w:i/>
                <w:color w:val="auto"/>
                <w:sz w:val="16"/>
                <w:szCs w:val="16"/>
              </w:rPr>
            </w:pPr>
            <w:r w:rsidRPr="008B515A">
              <w:rPr>
                <w:rFonts w:ascii="Open Sans" w:eastAsia="Open Sans" w:hAnsi="Open Sans" w:cs="Open Sans"/>
                <w:b/>
                <w:i/>
                <w:color w:val="auto"/>
                <w:sz w:val="16"/>
                <w:szCs w:val="16"/>
              </w:rPr>
              <w:t xml:space="preserve">This is an open access article under the </w:t>
            </w:r>
            <w:r w:rsidR="00957197">
              <w:rPr>
                <w:rFonts w:ascii="Times New Roman" w:eastAsia="Times New Roman" w:hAnsi="Times New Roman" w:cs="Times New Roman"/>
              </w:rPr>
              <w:fldChar w:fldCharType="begin"/>
            </w:r>
            <w:r w:rsidR="00957197">
              <w:instrText xml:space="preserve"> HYPERLINK "http://creativecommons.org/licenses/by-sa/4.0/" \h </w:instrText>
            </w:r>
            <w:r w:rsidR="00957197">
              <w:rPr>
                <w:rFonts w:ascii="Times New Roman" w:eastAsia="Times New Roman" w:hAnsi="Times New Roman" w:cs="Times New Roman"/>
              </w:rPr>
              <w:fldChar w:fldCharType="separate"/>
            </w:r>
            <w:r w:rsidRPr="008B515A">
              <w:rPr>
                <w:rFonts w:ascii="Open Sans" w:eastAsia="Open Sans" w:hAnsi="Open Sans" w:cs="Open Sans"/>
                <w:i/>
                <w:color w:val="auto"/>
                <w:sz w:val="16"/>
                <w:szCs w:val="16"/>
                <w:u w:val="single"/>
              </w:rPr>
              <w:t>CC–BY-SA</w:t>
            </w:r>
            <w:r w:rsidR="00957197">
              <w:rPr>
                <w:rFonts w:ascii="Open Sans" w:eastAsia="Open Sans" w:hAnsi="Open Sans" w:cs="Open Sans"/>
                <w:i/>
                <w:sz w:val="16"/>
                <w:szCs w:val="16"/>
                <w:u w:val="single"/>
              </w:rPr>
              <w:fldChar w:fldCharType="end"/>
            </w:r>
            <w:r w:rsidRPr="008B515A">
              <w:rPr>
                <w:rFonts w:ascii="Open Sans" w:eastAsia="Open Sans" w:hAnsi="Open Sans" w:cs="Open Sans"/>
                <w:b/>
                <w:i/>
                <w:color w:val="auto"/>
                <w:sz w:val="16"/>
                <w:szCs w:val="16"/>
              </w:rPr>
              <w:t xml:space="preserve"> license</w:t>
            </w:r>
          </w:p>
          <w:p w14:paraId="55A79C72" w14:textId="77777777" w:rsidR="0017624A" w:rsidRPr="008B515A" w:rsidRDefault="0090622E">
            <w:pPr>
              <w:pBdr>
                <w:top w:val="none" w:sz="0" w:space="0" w:color="000000"/>
                <w:left w:val="none" w:sz="0" w:space="0" w:color="000000"/>
                <w:bottom w:val="none" w:sz="0" w:space="0" w:color="000000"/>
                <w:right w:val="none" w:sz="0" w:space="0" w:color="000000"/>
                <w:between w:val="none" w:sz="0" w:space="0" w:color="000000"/>
              </w:pBdr>
              <w:ind w:right="57"/>
              <w:rPr>
                <w:rFonts w:ascii="Open Sans" w:eastAsia="Open Sans" w:hAnsi="Open Sans" w:cs="Open Sans"/>
                <w:i/>
                <w:color w:val="auto"/>
                <w:sz w:val="16"/>
                <w:szCs w:val="16"/>
              </w:rPr>
            </w:pPr>
            <w:r w:rsidRPr="008B515A">
              <w:rPr>
                <w:noProof/>
                <w:lang w:val="en-US"/>
              </w:rPr>
              <w:drawing>
                <wp:anchor distT="0" distB="0" distL="114300" distR="114300" simplePos="0" relativeHeight="251660288" behindDoc="0" locked="0" layoutInCell="1" hidden="0" allowOverlap="1" wp14:anchorId="61AE25AE" wp14:editId="70E866BD">
                  <wp:simplePos x="0" y="0"/>
                  <wp:positionH relativeFrom="column">
                    <wp:posOffset>354330</wp:posOffset>
                  </wp:positionH>
                  <wp:positionV relativeFrom="paragraph">
                    <wp:posOffset>97790</wp:posOffset>
                  </wp:positionV>
                  <wp:extent cx="724535" cy="25908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724535" cy="259080"/>
                          </a:xfrm>
                          <a:prstGeom prst="rect">
                            <a:avLst/>
                          </a:prstGeom>
                          <a:ln/>
                        </pic:spPr>
                      </pic:pic>
                    </a:graphicData>
                  </a:graphic>
                </wp:anchor>
              </w:drawing>
            </w:r>
          </w:p>
          <w:p w14:paraId="1A299869" w14:textId="77777777" w:rsidR="0017624A" w:rsidRPr="008B515A" w:rsidRDefault="0017624A">
            <w:pPr>
              <w:pBdr>
                <w:top w:val="none" w:sz="0" w:space="0" w:color="000000"/>
                <w:left w:val="none" w:sz="0" w:space="0" w:color="000000"/>
                <w:bottom w:val="none" w:sz="0" w:space="0" w:color="000000"/>
                <w:right w:val="none" w:sz="0" w:space="0" w:color="000000"/>
                <w:between w:val="none" w:sz="0" w:space="0" w:color="000000"/>
              </w:pBdr>
              <w:ind w:left="284" w:right="57" w:firstLine="0"/>
              <w:rPr>
                <w:rFonts w:ascii="Open Sans" w:eastAsia="Open Sans" w:hAnsi="Open Sans" w:cs="Open Sans"/>
                <w:i/>
                <w:color w:val="auto"/>
                <w:sz w:val="16"/>
                <w:szCs w:val="16"/>
              </w:rPr>
            </w:pPr>
          </w:p>
          <w:p w14:paraId="48C8A333" w14:textId="77777777" w:rsidR="0017624A" w:rsidRPr="008B515A" w:rsidRDefault="0017624A">
            <w:pPr>
              <w:pBdr>
                <w:top w:val="none" w:sz="0" w:space="0" w:color="000000"/>
                <w:left w:val="none" w:sz="0" w:space="0" w:color="000000"/>
                <w:bottom w:val="none" w:sz="0" w:space="0" w:color="000000"/>
                <w:right w:val="none" w:sz="0" w:space="0" w:color="000000"/>
                <w:between w:val="none" w:sz="0" w:space="0" w:color="000000"/>
              </w:pBdr>
              <w:ind w:left="284" w:right="57" w:firstLine="0"/>
              <w:rPr>
                <w:rFonts w:ascii="Open Sans" w:eastAsia="Open Sans" w:hAnsi="Open Sans" w:cs="Open Sans"/>
                <w:i/>
                <w:color w:val="auto"/>
                <w:sz w:val="16"/>
                <w:szCs w:val="16"/>
              </w:rPr>
            </w:pPr>
          </w:p>
        </w:tc>
        <w:tc>
          <w:tcPr>
            <w:tcW w:w="5277" w:type="dxa"/>
            <w:vMerge/>
            <w:tcBorders>
              <w:top w:val="single" w:sz="4" w:space="0" w:color="000000"/>
              <w:left w:val="nil"/>
              <w:bottom w:val="single" w:sz="4" w:space="0" w:color="000000"/>
              <w:right w:val="nil"/>
            </w:tcBorders>
            <w:tcMar>
              <w:top w:w="0" w:type="dxa"/>
              <w:left w:w="108" w:type="dxa"/>
              <w:bottom w:w="0" w:type="dxa"/>
              <w:right w:w="108" w:type="dxa"/>
            </w:tcMar>
          </w:tcPr>
          <w:p w14:paraId="5429B810" w14:textId="77777777" w:rsidR="0017624A" w:rsidRPr="008B515A" w:rsidRDefault="0017624A">
            <w:pPr>
              <w:widowControl w:val="0"/>
              <w:pBdr>
                <w:top w:val="nil"/>
                <w:left w:val="nil"/>
                <w:bottom w:val="nil"/>
                <w:right w:val="nil"/>
                <w:between w:val="nil"/>
              </w:pBdr>
              <w:spacing w:line="276" w:lineRule="auto"/>
              <w:ind w:firstLine="0"/>
              <w:rPr>
                <w:rFonts w:ascii="Open Sans" w:eastAsia="Open Sans" w:hAnsi="Open Sans" w:cs="Open Sans"/>
                <w:i/>
                <w:color w:val="auto"/>
                <w:sz w:val="16"/>
                <w:szCs w:val="16"/>
              </w:rPr>
            </w:pPr>
          </w:p>
        </w:tc>
      </w:tr>
    </w:tbl>
    <w:p w14:paraId="5E833DBE" w14:textId="77777777" w:rsidR="0013520B" w:rsidRPr="008B515A" w:rsidRDefault="0013520B" w:rsidP="0013520B">
      <w:pPr>
        <w:rPr>
          <w:rFonts w:eastAsia="Open Sans"/>
        </w:rPr>
      </w:pPr>
    </w:p>
    <w:p w14:paraId="6BE47DBC" w14:textId="77777777" w:rsidR="0017624A" w:rsidRPr="008B515A" w:rsidRDefault="00BC4D52">
      <w:pPr>
        <w:pStyle w:val="Heading1"/>
        <w:rPr>
          <w:rFonts w:asciiTheme="minorHAnsi" w:eastAsia="Open Sans" w:hAnsiTheme="minorHAnsi" w:cs="Open Sans"/>
          <w:szCs w:val="24"/>
        </w:rPr>
      </w:pPr>
      <w:r w:rsidRPr="008B515A">
        <w:rPr>
          <w:rFonts w:ascii="Open Sans" w:eastAsia="Open Sans" w:hAnsi="Open Sans" w:cs="Open Sans"/>
          <w:szCs w:val="24"/>
        </w:rPr>
        <w:t>INTRODUCTION</w:t>
      </w:r>
    </w:p>
    <w:p w14:paraId="37B87BBA" w14:textId="77777777" w:rsidR="00D377D3" w:rsidRPr="006B526E" w:rsidRDefault="00D377D3" w:rsidP="00D377D3">
      <w:pPr>
        <w:ind w:firstLine="720"/>
        <w:jc w:val="both"/>
        <w:rPr>
          <w:rFonts w:ascii="Open Sans" w:hAnsi="Open Sans"/>
          <w:lang w:val="en-US"/>
        </w:rPr>
      </w:pPr>
      <w:r w:rsidRPr="006B526E">
        <w:rPr>
          <w:rFonts w:ascii="Open Sans" w:hAnsi="Open Sans"/>
          <w:lang w:val="en-US"/>
        </w:rPr>
        <w:t xml:space="preserve">To stay successful in today's very competitive </w:t>
      </w:r>
      <w:proofErr w:type="spellStart"/>
      <w:r w:rsidRPr="006B526E">
        <w:rPr>
          <w:rFonts w:ascii="Open Sans" w:hAnsi="Open Sans"/>
          <w:lang w:val="en-US"/>
        </w:rPr>
        <w:t>industri</w:t>
      </w:r>
      <w:proofErr w:type="spellEnd"/>
      <w:r w:rsidRPr="006B526E">
        <w:rPr>
          <w:rFonts w:ascii="Open Sans" w:hAnsi="Open Sans"/>
          <w:lang w:val="en-US"/>
        </w:rPr>
        <w:t xml:space="preserve">, businesses need to continuously develop. </w:t>
      </w:r>
      <w:proofErr w:type="spellStart"/>
      <w:r w:rsidRPr="006B526E">
        <w:rPr>
          <w:rFonts w:ascii="Open Sans" w:hAnsi="Open Sans"/>
          <w:lang w:val="en-US"/>
        </w:rPr>
        <w:t>Consistenly</w:t>
      </w:r>
      <w:proofErr w:type="spellEnd"/>
      <w:r w:rsidRPr="006B526E">
        <w:rPr>
          <w:rFonts w:ascii="Open Sans" w:hAnsi="Open Sans"/>
          <w:lang w:val="en-US"/>
        </w:rPr>
        <w:t xml:space="preserve"> raising the value of the firm is a crucial </w:t>
      </w:r>
      <w:r w:rsidRPr="006B526E">
        <w:rPr>
          <w:rFonts w:ascii="Open Sans" w:hAnsi="Open Sans"/>
          <w:lang w:val="en-US"/>
        </w:rPr>
        <w:lastRenderedPageBreak/>
        <w:t xml:space="preserve">component of greatness. A high firm value encourages shareholders to reinvest by providing them with assuring/assurance </w:t>
      </w:r>
      <w:proofErr w:type="spellStart"/>
      <w:r w:rsidRPr="006B526E">
        <w:rPr>
          <w:rFonts w:ascii="Open Sans" w:hAnsi="Open Sans"/>
          <w:lang w:val="en-US"/>
        </w:rPr>
        <w:t>abour</w:t>
      </w:r>
      <w:proofErr w:type="spellEnd"/>
      <w:r w:rsidRPr="006B526E">
        <w:rPr>
          <w:rFonts w:ascii="Open Sans" w:hAnsi="Open Sans"/>
          <w:lang w:val="en-US"/>
        </w:rPr>
        <w:t xml:space="preserve"> the future of their investment. Price</w:t>
      </w:r>
      <w:r w:rsidR="00D46C23" w:rsidRPr="006B526E">
        <w:rPr>
          <w:rFonts w:ascii="Open Sans" w:hAnsi="Open Sans"/>
          <w:lang w:val="en-US"/>
        </w:rPr>
        <w:t xml:space="preserve"> t</w:t>
      </w:r>
      <w:r w:rsidRPr="006B526E">
        <w:rPr>
          <w:rFonts w:ascii="Open Sans" w:hAnsi="Open Sans"/>
          <w:lang w:val="en-US"/>
        </w:rPr>
        <w:t xml:space="preserve">o Book Value is a common metric used to quantify investor perception of a firm, as noted by </w:t>
      </w:r>
      <w:proofErr w:type="spellStart"/>
      <w:r w:rsidRPr="006B526E">
        <w:rPr>
          <w:rFonts w:ascii="Open Sans" w:hAnsi="Open Sans"/>
          <w:lang w:val="en-US"/>
        </w:rPr>
        <w:t>Maryadi</w:t>
      </w:r>
      <w:proofErr w:type="spellEnd"/>
      <w:r w:rsidRPr="006B526E">
        <w:rPr>
          <w:rFonts w:ascii="Open Sans" w:hAnsi="Open Sans"/>
          <w:lang w:val="en-US"/>
        </w:rPr>
        <w:t xml:space="preserve"> &amp; Susilowati (2020). Greater firm value is indicated by a higher PBV, which is the stock price in relation to book value.</w:t>
      </w:r>
    </w:p>
    <w:p w14:paraId="3B6F4DBC" w14:textId="77777777" w:rsidR="0064618A" w:rsidRPr="006B526E" w:rsidRDefault="00D377D3" w:rsidP="00D377D3">
      <w:pPr>
        <w:ind w:firstLine="720"/>
        <w:jc w:val="both"/>
        <w:rPr>
          <w:rFonts w:ascii="Open Sans" w:hAnsi="Open Sans"/>
          <w:lang w:val="en-US"/>
        </w:rPr>
      </w:pPr>
      <w:r w:rsidRPr="006B526E">
        <w:rPr>
          <w:rFonts w:ascii="Open Sans" w:hAnsi="Open Sans"/>
          <w:lang w:val="en-US"/>
        </w:rPr>
        <w:t>In essence, a fi</w:t>
      </w:r>
      <w:r w:rsidR="00416563" w:rsidRPr="006B526E">
        <w:rPr>
          <w:rFonts w:ascii="Open Sans" w:hAnsi="Open Sans"/>
          <w:lang w:val="en-US"/>
        </w:rPr>
        <w:t>rm's stock market performance. W</w:t>
      </w:r>
      <w:r w:rsidRPr="006B526E">
        <w:rPr>
          <w:rFonts w:ascii="Open Sans" w:hAnsi="Open Sans"/>
          <w:lang w:val="en-US"/>
        </w:rPr>
        <w:t xml:space="preserve">hich is influenced by supply and demand, is reflected in its company value. It is the opinion of the general public on the company's performance. When it comes to investing, investors are mostly influenced by the valuation of the firm. </w:t>
      </w:r>
      <w:r w:rsidR="0064618A" w:rsidRPr="006B526E">
        <w:rPr>
          <w:rFonts w:ascii="Open Sans" w:hAnsi="Open Sans"/>
          <w:lang w:val="en-US"/>
        </w:rPr>
        <w:t>These profitability and CSR variables influence company value. The capacity of a business to earn profits from its core activities is reflected in profitability, which is determined by “return on equity and return on assets”.</w:t>
      </w:r>
    </w:p>
    <w:p w14:paraId="380603DB" w14:textId="77777777" w:rsidR="00D377D3" w:rsidRDefault="00D377D3" w:rsidP="00D377D3">
      <w:pPr>
        <w:ind w:firstLine="720"/>
        <w:jc w:val="both"/>
        <w:rPr>
          <w:rFonts w:ascii="Open Sans" w:hAnsi="Open Sans"/>
          <w:lang w:val="en-US"/>
        </w:rPr>
      </w:pPr>
      <w:r w:rsidRPr="006B526E">
        <w:rPr>
          <w:rFonts w:ascii="Open Sans" w:hAnsi="Open Sans"/>
          <w:lang w:val="en-US"/>
        </w:rPr>
        <w:t xml:space="preserve">The efficiency with which a business generates profit from all of its </w:t>
      </w:r>
      <w:proofErr w:type="spellStart"/>
      <w:r w:rsidRPr="006B526E">
        <w:rPr>
          <w:rFonts w:ascii="Open Sans" w:hAnsi="Open Sans"/>
          <w:lang w:val="en-US"/>
        </w:rPr>
        <w:t>assetz</w:t>
      </w:r>
      <w:proofErr w:type="spellEnd"/>
      <w:r w:rsidRPr="006B526E">
        <w:rPr>
          <w:rFonts w:ascii="Open Sans" w:hAnsi="Open Sans"/>
          <w:lang w:val="en-US"/>
        </w:rPr>
        <w:t xml:space="preserve"> is reflected in its return on assets, or ROA. Better use of assets is indicated by a greater ROA, which might increase a company's value since assets add to a company's worth. Return on Assets (ROA) gauges a business's ability to produce a profit, claim</w:t>
      </w:r>
      <w:r>
        <w:rPr>
          <w:rFonts w:ascii="Open Sans" w:hAnsi="Open Sans"/>
          <w:lang w:val="en-US"/>
        </w:rPr>
        <w:t xml:space="preserve"> Kasmir (2018)</w:t>
      </w:r>
      <w:r w:rsidRPr="006B526E">
        <w:rPr>
          <w:rFonts w:ascii="Open Sans" w:hAnsi="Open Sans"/>
          <w:lang w:val="en-US"/>
        </w:rPr>
        <w:t>.</w:t>
      </w:r>
    </w:p>
    <w:p w14:paraId="59CECB3D" w14:textId="77777777" w:rsidR="0007460F" w:rsidRPr="006B526E" w:rsidRDefault="00D377D3" w:rsidP="00D377D3">
      <w:pPr>
        <w:ind w:firstLine="720"/>
        <w:jc w:val="both"/>
        <w:rPr>
          <w:rFonts w:ascii="Open Sans" w:hAnsi="Open Sans"/>
          <w:lang w:val="en-US"/>
        </w:rPr>
      </w:pPr>
      <w:r w:rsidRPr="006B526E">
        <w:rPr>
          <w:rFonts w:ascii="Open Sans" w:hAnsi="Open Sans"/>
          <w:lang w:val="en-US"/>
        </w:rPr>
        <w:t xml:space="preserve">ROE of a company indicates how successfully it makes money with the capital (equity) that belongs to its shareholders. ROE is a measure of the company's return on equity, claim </w:t>
      </w:r>
      <w:r>
        <w:rPr>
          <w:rFonts w:ascii="Open Sans" w:hAnsi="Open Sans"/>
          <w:lang w:val="en-US"/>
        </w:rPr>
        <w:t>Kasmir (2018)</w:t>
      </w:r>
      <w:r w:rsidRPr="006B526E">
        <w:rPr>
          <w:rFonts w:ascii="Open Sans" w:hAnsi="Open Sans"/>
          <w:lang w:val="en-US"/>
        </w:rPr>
        <w:t>.</w:t>
      </w:r>
      <w:r>
        <w:rPr>
          <w:rFonts w:ascii="Open Sans" w:hAnsi="Open Sans"/>
          <w:lang w:val="en-US"/>
        </w:rPr>
        <w:t xml:space="preserve"> </w:t>
      </w:r>
      <w:r w:rsidRPr="006B526E">
        <w:rPr>
          <w:rFonts w:ascii="Open Sans" w:hAnsi="Open Sans"/>
          <w:lang w:val="en-US"/>
        </w:rPr>
        <w:t>Growing ROE is a positive indicator for investors and might help the firm raise capital via share issuance. If an organization's ROE is higher, it could be employing its equity more wisely. A firm's position is typical strengthened by a higher ROE.</w:t>
      </w:r>
    </w:p>
    <w:p w14:paraId="6D57C577" w14:textId="77777777" w:rsidR="00D377D3" w:rsidRPr="006777B4" w:rsidRDefault="003D3E9D" w:rsidP="00D377D3">
      <w:pPr>
        <w:ind w:firstLine="720"/>
        <w:jc w:val="both"/>
        <w:rPr>
          <w:rFonts w:ascii="Open Sans" w:hAnsi="Open Sans"/>
          <w:lang w:val="en-US"/>
        </w:rPr>
      </w:pPr>
      <w:r>
        <w:rPr>
          <w:rFonts w:ascii="Open Sans" w:hAnsi="Open Sans"/>
          <w:lang w:val="en-US"/>
        </w:rPr>
        <w:t>This study examines whether CSR functions as a moderating variable in the relationship</w:t>
      </w:r>
      <w:r w:rsidR="002012D1">
        <w:rPr>
          <w:rFonts w:ascii="Open Sans" w:hAnsi="Open Sans"/>
          <w:lang w:val="en-US"/>
        </w:rPr>
        <w:t xml:space="preserve"> between profitability (ROA, </w:t>
      </w:r>
      <w:r>
        <w:rPr>
          <w:rFonts w:ascii="Open Sans" w:hAnsi="Open Sans"/>
          <w:lang w:val="en-US"/>
        </w:rPr>
        <w:t xml:space="preserve">ROE) and business value. Put more simply, the study looks at whether or not CSR increases or decreases the effect that profitability has on a company’s worth. CSR is the term used to describe a business’s environmental policy, which take into account both ecological and human well-being. According to </w:t>
      </w:r>
      <w:proofErr w:type="spellStart"/>
      <w:r>
        <w:rPr>
          <w:rFonts w:ascii="Open Sans" w:hAnsi="Open Sans"/>
          <w:lang w:val="en-US"/>
        </w:rPr>
        <w:t>Mardikanto</w:t>
      </w:r>
      <w:proofErr w:type="spellEnd"/>
      <w:r>
        <w:rPr>
          <w:rFonts w:ascii="Open Sans" w:hAnsi="Open Sans"/>
          <w:lang w:val="en-US"/>
        </w:rPr>
        <w:t xml:space="preserve"> (2014), CSR increases employee engagement and motivation by fostering a sense of trust with the community. By putting CSR into practice, a business shows that it is committed to improving people’s quality of life.</w:t>
      </w:r>
    </w:p>
    <w:p w14:paraId="5B3F4C0F" w14:textId="77777777" w:rsidR="008538E8" w:rsidRPr="006777B4" w:rsidRDefault="00497A5F" w:rsidP="008538E8">
      <w:pPr>
        <w:jc w:val="both"/>
        <w:rPr>
          <w:rFonts w:ascii="Open Sans" w:hAnsi="Open Sans"/>
        </w:rPr>
      </w:pPr>
      <w:r w:rsidRPr="006777B4">
        <w:rPr>
          <w:rFonts w:ascii="Open Sans" w:hAnsi="Open Sans"/>
          <w:noProof/>
          <w:lang w:val="en-US"/>
        </w:rPr>
        <w:lastRenderedPageBreak/>
        <w:drawing>
          <wp:inline distT="0" distB="0" distL="0" distR="0" wp14:anchorId="1EBA5B65" wp14:editId="6E50F98C">
            <wp:extent cx="4676775" cy="2057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55AF98" w14:textId="77777777" w:rsidR="008538E8" w:rsidRDefault="00846012" w:rsidP="00846012">
      <w:pPr>
        <w:ind w:firstLine="720"/>
        <w:jc w:val="both"/>
        <w:rPr>
          <w:rFonts w:ascii="Open Sans" w:hAnsi="Open Sans"/>
        </w:rPr>
      </w:pPr>
      <w:r>
        <w:rPr>
          <w:rFonts w:ascii="Open Sans" w:hAnsi="Open Sans"/>
          <w:lang w:val="en-US"/>
        </w:rPr>
        <w:t>Over time, there are large fluctuations in the value of Indonesia’s state-owned banks. In 2013,</w:t>
      </w:r>
      <w:r>
        <w:rPr>
          <w:rFonts w:ascii="Open Sans" w:hAnsi="Open Sans"/>
        </w:rPr>
        <w:t xml:space="preserve"> Bank Rakyat Indonesia (BBRI) had a significant increase, but by 2016, there had been a significant ddecrease. In a s</w:t>
      </w:r>
      <w:r w:rsidR="008538E8" w:rsidRPr="006777B4">
        <w:rPr>
          <w:rFonts w:ascii="Open Sans" w:hAnsi="Open Sans"/>
        </w:rPr>
        <w:t>imilarly</w:t>
      </w:r>
      <w:r>
        <w:rPr>
          <w:rFonts w:ascii="Open Sans" w:hAnsi="Open Sans"/>
          <w:lang w:val="en-US"/>
        </w:rPr>
        <w:t xml:space="preserve"> vein</w:t>
      </w:r>
      <w:r w:rsidR="008538E8" w:rsidRPr="006777B4">
        <w:rPr>
          <w:rFonts w:ascii="Open Sans" w:hAnsi="Open Sans"/>
        </w:rPr>
        <w:t xml:space="preserve">, </w:t>
      </w:r>
      <w:r>
        <w:rPr>
          <w:rFonts w:ascii="Open Sans" w:hAnsi="Open Sans"/>
          <w:lang w:val="en-US"/>
        </w:rPr>
        <w:t>throughout the specified period, other bank such as Bank</w:t>
      </w:r>
      <w:r>
        <w:rPr>
          <w:rFonts w:ascii="Open Sans" w:hAnsi="Open Sans"/>
        </w:rPr>
        <w:t xml:space="preserve"> </w:t>
      </w:r>
      <w:r w:rsidR="008538E8" w:rsidRPr="006777B4">
        <w:rPr>
          <w:rFonts w:ascii="Open Sans" w:hAnsi="Open Sans"/>
        </w:rPr>
        <w:t xml:space="preserve">Negara Indonesia (BNI) and Bank Mandiri (BMRI) </w:t>
      </w:r>
      <w:r>
        <w:rPr>
          <w:rFonts w:ascii="Open Sans" w:hAnsi="Open Sans"/>
          <w:lang w:val="en-US"/>
        </w:rPr>
        <w:t>had both gains and reductions.</w:t>
      </w:r>
      <w:r w:rsidR="008538E8" w:rsidRPr="006777B4">
        <w:rPr>
          <w:rFonts w:ascii="Open Sans" w:hAnsi="Open Sans"/>
        </w:rPr>
        <w:t xml:space="preserve"> Bank Tabungan Negara (BBTN)</w:t>
      </w:r>
      <w:r>
        <w:rPr>
          <w:rFonts w:ascii="Open Sans" w:hAnsi="Open Sans"/>
          <w:lang w:val="en-US"/>
        </w:rPr>
        <w:t xml:space="preserve"> is experiencing the similar trend</w:t>
      </w:r>
      <w:r w:rsidR="008538E8" w:rsidRPr="006777B4">
        <w:rPr>
          <w:rFonts w:ascii="Open Sans" w:hAnsi="Open Sans"/>
        </w:rPr>
        <w:t>.</w:t>
      </w:r>
    </w:p>
    <w:p w14:paraId="403E3362" w14:textId="77777777" w:rsidR="00846012" w:rsidRDefault="00846012" w:rsidP="00846012">
      <w:pPr>
        <w:ind w:firstLine="720"/>
        <w:jc w:val="both"/>
        <w:rPr>
          <w:rFonts w:ascii="Open Sans" w:hAnsi="Open Sans"/>
          <w:lang w:val="en-US"/>
        </w:rPr>
      </w:pPr>
      <w:r>
        <w:rPr>
          <w:rFonts w:ascii="Open Sans" w:hAnsi="Open Sans"/>
          <w:lang w:val="en-US"/>
        </w:rPr>
        <w:t xml:space="preserve">Significant swings were seen in the market value of state-owned banks listed on the “Indonesia Stock Exchange” (IDX) between Q1 and Q4 of 2013 and Q4 of 2022. The average growth prospects for these institutions appear to be questionable, based on the volatility observed. When making investing selections, investors must take these changes into account. Investor confidence can be undermined </w:t>
      </w:r>
      <w:r w:rsidR="00BC7B6A">
        <w:rPr>
          <w:rFonts w:ascii="Open Sans" w:hAnsi="Open Sans"/>
          <w:lang w:val="en-US"/>
        </w:rPr>
        <w:t>and the bank’s reputation harmed by a drop in company value.</w:t>
      </w:r>
    </w:p>
    <w:p w14:paraId="2D461649" w14:textId="77777777" w:rsidR="008B515A" w:rsidRDefault="00BC7B6A" w:rsidP="00BC7B6A">
      <w:pPr>
        <w:ind w:firstLine="720"/>
        <w:jc w:val="both"/>
        <w:rPr>
          <w:rFonts w:ascii="Open Sans" w:hAnsi="Open Sans"/>
          <w:lang w:val="en-US"/>
        </w:rPr>
      </w:pPr>
      <w:r>
        <w:rPr>
          <w:rFonts w:ascii="Open Sans" w:hAnsi="Open Sans"/>
          <w:lang w:val="en-US"/>
        </w:rPr>
        <w:t>It’s crucial to remember, nevertheless, that a firm value average above 1 suggests that there may have been an overvaluation as the market value exceeds the worth of all assets. The ability of a business to increase its value ultimately depends on efficient resource management inside the company.</w:t>
      </w:r>
    </w:p>
    <w:p w14:paraId="74D1C6A2" w14:textId="77777777" w:rsidR="00BC7B6A" w:rsidRPr="00BC7B6A" w:rsidRDefault="00BC7B6A" w:rsidP="00BC7B6A">
      <w:pPr>
        <w:ind w:firstLine="720"/>
        <w:jc w:val="both"/>
        <w:rPr>
          <w:rFonts w:ascii="Open Sans" w:hAnsi="Open Sans"/>
          <w:lang w:val="en-US"/>
        </w:rPr>
      </w:pPr>
    </w:p>
    <w:p w14:paraId="2EBE2612" w14:textId="77777777" w:rsidR="0017624A" w:rsidRDefault="00BC4D52" w:rsidP="00BC4D52">
      <w:pPr>
        <w:pStyle w:val="Heading1"/>
        <w:rPr>
          <w:rFonts w:ascii="Open Sans" w:eastAsia="Open Sans" w:hAnsi="Open Sans"/>
          <w:szCs w:val="24"/>
        </w:rPr>
      </w:pPr>
      <w:r w:rsidRPr="006777B4">
        <w:rPr>
          <w:rFonts w:ascii="Open Sans" w:eastAsia="Open Sans" w:hAnsi="Open Sans"/>
          <w:szCs w:val="24"/>
        </w:rPr>
        <w:t>RESEARCH METHOD</w:t>
      </w:r>
    </w:p>
    <w:p w14:paraId="4FC745B2" w14:textId="77777777" w:rsidR="0017624A" w:rsidRPr="006777B4" w:rsidRDefault="008B515A" w:rsidP="00BC4D52">
      <w:pPr>
        <w:pStyle w:val="Heading2"/>
        <w:rPr>
          <w:rFonts w:ascii="Open Sans" w:eastAsia="Open Sans" w:hAnsi="Open Sans"/>
          <w:sz w:val="20"/>
          <w:szCs w:val="20"/>
          <w:lang w:val="en-US"/>
        </w:rPr>
      </w:pPr>
      <w:r w:rsidRPr="006777B4">
        <w:rPr>
          <w:rFonts w:ascii="Open Sans" w:eastAsia="Open Sans" w:hAnsi="Open Sans"/>
          <w:sz w:val="20"/>
          <w:szCs w:val="20"/>
          <w:lang w:val="en-US"/>
        </w:rPr>
        <w:t>ANALYSIS METHODS</w:t>
      </w:r>
    </w:p>
    <w:p w14:paraId="2AC9B09B" w14:textId="77777777" w:rsidR="0064618A" w:rsidRDefault="00BC7B6A" w:rsidP="00173BE6">
      <w:pPr>
        <w:pBdr>
          <w:top w:val="none" w:sz="0" w:space="0" w:color="000000"/>
          <w:left w:val="none" w:sz="0" w:space="0" w:color="000000"/>
          <w:bottom w:val="none" w:sz="0" w:space="0" w:color="000000"/>
          <w:right w:val="none" w:sz="0" w:space="0" w:color="000000"/>
          <w:between w:val="none" w:sz="0" w:space="0" w:color="000000"/>
        </w:pBdr>
        <w:ind w:firstLine="709"/>
        <w:jc w:val="both"/>
        <w:rPr>
          <w:rFonts w:ascii="Open Sans" w:hAnsi="Open Sans"/>
        </w:rPr>
      </w:pPr>
      <w:r>
        <w:rPr>
          <w:rFonts w:ascii="Open Sans" w:hAnsi="Open Sans"/>
          <w:lang w:val="en-US"/>
        </w:rPr>
        <w:t xml:space="preserve">This investigation employs a quantitative </w:t>
      </w:r>
      <w:r>
        <w:rPr>
          <w:rFonts w:ascii="Open Sans" w:hAnsi="Open Sans"/>
        </w:rPr>
        <w:t>research methodology</w:t>
      </w:r>
      <w:r w:rsidR="008538E8" w:rsidRPr="006777B4">
        <w:rPr>
          <w:rFonts w:ascii="Open Sans" w:hAnsi="Open Sans"/>
        </w:rPr>
        <w:t xml:space="preserve">. </w:t>
      </w:r>
      <w:r w:rsidR="0064618A" w:rsidRPr="0064618A">
        <w:rPr>
          <w:rFonts w:ascii="Open Sans" w:hAnsi="Open Sans"/>
        </w:rPr>
        <w:t>The information is derived from state-owned banks publicly accessible financial statements that are posted on the Indonesia Stock Exchange website</w:t>
      </w:r>
      <w:r w:rsidR="008538E8" w:rsidRPr="006777B4">
        <w:rPr>
          <w:rFonts w:ascii="Open Sans" w:hAnsi="Open Sans"/>
        </w:rPr>
        <w:t xml:space="preserve">. The quarterly and </w:t>
      </w:r>
      <w:r>
        <w:rPr>
          <w:rFonts w:ascii="Open Sans" w:hAnsi="Open Sans"/>
          <w:lang w:val="en-US"/>
        </w:rPr>
        <w:t>yearly</w:t>
      </w:r>
      <w:r w:rsidR="008538E8" w:rsidRPr="006777B4">
        <w:rPr>
          <w:rFonts w:ascii="Open Sans" w:hAnsi="Open Sans"/>
        </w:rPr>
        <w:t xml:space="preserve"> reports</w:t>
      </w:r>
      <w:r>
        <w:rPr>
          <w:rFonts w:ascii="Open Sans" w:hAnsi="Open Sans"/>
          <w:lang w:val="en-US"/>
        </w:rPr>
        <w:t xml:space="preserve"> covering the years</w:t>
      </w:r>
      <w:r>
        <w:rPr>
          <w:rFonts w:ascii="Open Sans" w:hAnsi="Open Sans"/>
        </w:rPr>
        <w:t xml:space="preserve"> </w:t>
      </w:r>
      <w:r w:rsidR="008538E8" w:rsidRPr="006777B4">
        <w:rPr>
          <w:rFonts w:ascii="Open Sans" w:hAnsi="Open Sans"/>
        </w:rPr>
        <w:t>2013-2022</w:t>
      </w:r>
      <w:r>
        <w:rPr>
          <w:rFonts w:ascii="Open Sans" w:hAnsi="Open Sans"/>
          <w:lang w:val="en-US"/>
        </w:rPr>
        <w:t xml:space="preserve"> are included in the data source</w:t>
      </w:r>
      <w:r w:rsidR="008538E8" w:rsidRPr="006777B4">
        <w:rPr>
          <w:rFonts w:ascii="Open Sans" w:hAnsi="Open Sans"/>
        </w:rPr>
        <w:t>. A</w:t>
      </w:r>
      <w:r>
        <w:rPr>
          <w:rFonts w:ascii="Open Sans" w:hAnsi="Open Sans"/>
          <w:lang w:val="en-US"/>
        </w:rPr>
        <w:t xml:space="preserve"> sample size</w:t>
      </w:r>
      <w:r w:rsidR="00951E64">
        <w:rPr>
          <w:rFonts w:ascii="Open Sans" w:hAnsi="Open Sans"/>
          <w:lang w:val="en-US"/>
        </w:rPr>
        <w:t xml:space="preserve"> of 160 financial data points was obtained by using a saturation sampling approach, as</w:t>
      </w:r>
      <w:r w:rsidR="008538E8" w:rsidRPr="006777B4">
        <w:rPr>
          <w:rFonts w:ascii="Open Sans" w:hAnsi="Open Sans"/>
        </w:rPr>
        <w:t xml:space="preserve"> Sugiyono</w:t>
      </w:r>
      <w:r w:rsidR="00951E64">
        <w:rPr>
          <w:rFonts w:ascii="Open Sans" w:hAnsi="Open Sans"/>
          <w:lang w:val="en-US"/>
        </w:rPr>
        <w:t xml:space="preserve"> outlined</w:t>
      </w:r>
      <w:r w:rsidR="008538E8" w:rsidRPr="006777B4">
        <w:rPr>
          <w:rFonts w:ascii="Open Sans" w:hAnsi="Open Sans"/>
        </w:rPr>
        <w:t>.</w:t>
      </w:r>
      <w:r w:rsidR="00951E64">
        <w:rPr>
          <w:rFonts w:ascii="Open Sans" w:hAnsi="Open Sans"/>
          <w:lang w:val="en-US"/>
        </w:rPr>
        <w:t xml:space="preserve"> The data were </w:t>
      </w:r>
      <w:proofErr w:type="spellStart"/>
      <w:r w:rsidR="00951E64">
        <w:rPr>
          <w:rFonts w:ascii="Open Sans" w:hAnsi="Open Sans"/>
          <w:lang w:val="en-US"/>
        </w:rPr>
        <w:t>analysed</w:t>
      </w:r>
      <w:proofErr w:type="spellEnd"/>
      <w:r w:rsidR="00951E64">
        <w:rPr>
          <w:rFonts w:ascii="Open Sans" w:hAnsi="Open Sans"/>
          <w:lang w:val="en-US"/>
        </w:rPr>
        <w:t xml:space="preserve"> using a moderating regression model and partial l</w:t>
      </w:r>
      <w:r w:rsidR="00951E64">
        <w:rPr>
          <w:rFonts w:ascii="Open Sans" w:hAnsi="Open Sans"/>
        </w:rPr>
        <w:t>east s</w:t>
      </w:r>
      <w:r w:rsidR="008538E8" w:rsidRPr="006777B4">
        <w:rPr>
          <w:rFonts w:ascii="Open Sans" w:hAnsi="Open Sans"/>
        </w:rPr>
        <w:t>quare (PLS) analysis</w:t>
      </w:r>
      <w:r w:rsidR="00951E64">
        <w:rPr>
          <w:rFonts w:ascii="Open Sans" w:hAnsi="Open Sans"/>
          <w:lang w:val="en-US"/>
        </w:rPr>
        <w:t>, which was made easier by the use of</w:t>
      </w:r>
      <w:r w:rsidR="00951E64">
        <w:rPr>
          <w:rFonts w:ascii="Open Sans" w:hAnsi="Open Sans"/>
        </w:rPr>
        <w:t xml:space="preserve"> SmartPLS software.</w:t>
      </w:r>
    </w:p>
    <w:p w14:paraId="1688F637" w14:textId="77777777" w:rsidR="00951E64" w:rsidRDefault="00951E64">
      <w:pPr>
        <w:pBdr>
          <w:top w:val="none" w:sz="0" w:space="0" w:color="000000"/>
          <w:left w:val="none" w:sz="0" w:space="0" w:color="000000"/>
          <w:bottom w:val="none" w:sz="0" w:space="0" w:color="000000"/>
          <w:right w:val="none" w:sz="0" w:space="0" w:color="000000"/>
          <w:between w:val="none" w:sz="0" w:space="0" w:color="000000"/>
        </w:pBdr>
        <w:ind w:firstLine="709"/>
        <w:jc w:val="both"/>
        <w:rPr>
          <w:rFonts w:ascii="Open Sans" w:hAnsi="Open Sans"/>
        </w:rPr>
      </w:pPr>
    </w:p>
    <w:p w14:paraId="1F5A4F89" w14:textId="77777777" w:rsidR="00951E64" w:rsidRPr="00951E64" w:rsidRDefault="00951E64" w:rsidP="00951E64">
      <w:pPr>
        <w:pStyle w:val="Heading1"/>
        <w:rPr>
          <w:lang w:val="en-US"/>
        </w:rPr>
      </w:pPr>
      <w:r>
        <w:rPr>
          <w:lang w:val="en-US"/>
        </w:rPr>
        <w:lastRenderedPageBreak/>
        <w:t>RESULTS AND DISCUSSION</w:t>
      </w:r>
    </w:p>
    <w:p w14:paraId="66A9ED0B" w14:textId="77777777" w:rsidR="0017624A" w:rsidRPr="006777B4" w:rsidRDefault="0090622E" w:rsidP="003C2BBF">
      <w:pPr>
        <w:pStyle w:val="Heading2"/>
        <w:rPr>
          <w:rFonts w:ascii="Open Sans" w:eastAsia="Open Sans" w:hAnsi="Open Sans" w:cs="Open Sans"/>
          <w:b w:val="0"/>
          <w:color w:val="000000"/>
          <w:sz w:val="20"/>
          <w:szCs w:val="20"/>
        </w:rPr>
      </w:pPr>
      <w:r w:rsidRPr="006777B4">
        <w:rPr>
          <w:rStyle w:val="Heading2Char"/>
          <w:rFonts w:ascii="Open Sans" w:eastAsia="Open Sans" w:hAnsi="Open Sans"/>
          <w:b/>
          <w:sz w:val="20"/>
          <w:szCs w:val="20"/>
        </w:rPr>
        <w:t>RESULTS</w:t>
      </w:r>
    </w:p>
    <w:p w14:paraId="1FF7BAA1" w14:textId="77777777" w:rsidR="008B515A" w:rsidRDefault="008B515A" w:rsidP="008B515A">
      <w:pPr>
        <w:rPr>
          <w:rFonts w:ascii="Open Sans" w:hAnsi="Open Sans"/>
          <w:b/>
        </w:rPr>
      </w:pPr>
      <w:r w:rsidRPr="006777B4">
        <w:rPr>
          <w:rFonts w:ascii="Open Sans" w:hAnsi="Open Sans"/>
          <w:b/>
        </w:rPr>
        <w:t>Descriptive Statistical Analysis</w:t>
      </w:r>
    </w:p>
    <w:p w14:paraId="7DBF8116" w14:textId="77777777" w:rsidR="0090622E" w:rsidRPr="006777B4" w:rsidRDefault="008B515A" w:rsidP="008B515A">
      <w:pPr>
        <w:jc w:val="center"/>
        <w:rPr>
          <w:rFonts w:ascii="Open Sans" w:hAnsi="Open Sans"/>
          <w:b/>
        </w:rPr>
      </w:pPr>
      <w:r w:rsidRPr="006777B4">
        <w:rPr>
          <w:rFonts w:ascii="Open Sans" w:hAnsi="Open Sans"/>
          <w:b/>
        </w:rPr>
        <w:t>Table 1. Results of Descriptive Statistical Analysis</w:t>
      </w:r>
    </w:p>
    <w:tbl>
      <w:tblPr>
        <w:tblStyle w:val="TableGrid"/>
        <w:tblW w:w="7371" w:type="dxa"/>
        <w:tblInd w:w="421" w:type="dxa"/>
        <w:tblLayout w:type="fixed"/>
        <w:tblLook w:val="04A0" w:firstRow="1" w:lastRow="0" w:firstColumn="1" w:lastColumn="0" w:noHBand="0" w:noVBand="1"/>
      </w:tblPr>
      <w:tblGrid>
        <w:gridCol w:w="1814"/>
        <w:gridCol w:w="850"/>
        <w:gridCol w:w="1276"/>
        <w:gridCol w:w="1276"/>
        <w:gridCol w:w="850"/>
        <w:gridCol w:w="1305"/>
      </w:tblGrid>
      <w:tr w:rsidR="0090622E" w:rsidRPr="006777B4" w14:paraId="69C549D4" w14:textId="77777777" w:rsidTr="003C2BBF">
        <w:tc>
          <w:tcPr>
            <w:tcW w:w="1814" w:type="dxa"/>
            <w:tcBorders>
              <w:top w:val="single" w:sz="4" w:space="0" w:color="auto"/>
              <w:left w:val="single" w:sz="4" w:space="0" w:color="auto"/>
              <w:bottom w:val="single" w:sz="4" w:space="0" w:color="auto"/>
              <w:right w:val="single" w:sz="4" w:space="0" w:color="auto"/>
            </w:tcBorders>
            <w:vAlign w:val="center"/>
          </w:tcPr>
          <w:p w14:paraId="36C81796" w14:textId="77777777" w:rsidR="0090622E" w:rsidRPr="006777B4" w:rsidRDefault="0090622E" w:rsidP="003C2BBF">
            <w:pPr>
              <w:ind w:left="0" w:hanging="2"/>
              <w:jc w:val="center"/>
              <w:rPr>
                <w:rFonts w:ascii="Open Sans" w:hAnsi="Open San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53DB33A" w14:textId="77777777" w:rsidR="0090622E" w:rsidRPr="006777B4" w:rsidRDefault="0090622E" w:rsidP="003C2BBF">
            <w:pPr>
              <w:ind w:left="0" w:hanging="2"/>
              <w:jc w:val="center"/>
              <w:rPr>
                <w:rFonts w:ascii="Open Sans" w:hAnsi="Open Sans"/>
              </w:rPr>
            </w:pPr>
            <w:r w:rsidRPr="006777B4">
              <w:rPr>
                <w:rFonts w:ascii="Open Sans" w:hAnsi="Open Sans"/>
              </w:rPr>
              <w:t>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119AD4" w14:textId="77777777" w:rsidR="0090622E" w:rsidRPr="006777B4" w:rsidRDefault="0090622E" w:rsidP="003C2BBF">
            <w:pPr>
              <w:ind w:left="0" w:hanging="2"/>
              <w:jc w:val="center"/>
              <w:rPr>
                <w:rFonts w:ascii="Open Sans" w:hAnsi="Open Sans"/>
              </w:rPr>
            </w:pPr>
            <w:r w:rsidRPr="006777B4">
              <w:rPr>
                <w:rFonts w:ascii="Open Sans" w:hAnsi="Open Sans"/>
              </w:rPr>
              <w:t>Minimum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6D79EE" w14:textId="77777777" w:rsidR="0090622E" w:rsidRPr="006777B4" w:rsidRDefault="0090622E" w:rsidP="003C2BBF">
            <w:pPr>
              <w:ind w:left="0" w:hanging="2"/>
              <w:jc w:val="center"/>
              <w:rPr>
                <w:rFonts w:ascii="Open Sans" w:hAnsi="Open Sans"/>
              </w:rPr>
            </w:pPr>
            <w:r w:rsidRPr="006777B4">
              <w:rPr>
                <w:rFonts w:ascii="Open Sans" w:hAnsi="Open Sans"/>
              </w:rPr>
              <w:t>Maximum</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EB5ACE" w14:textId="77777777" w:rsidR="0090622E" w:rsidRPr="006777B4" w:rsidRDefault="0090622E" w:rsidP="003C2BBF">
            <w:pPr>
              <w:ind w:left="0" w:hanging="2"/>
              <w:jc w:val="center"/>
              <w:rPr>
                <w:rFonts w:ascii="Open Sans" w:hAnsi="Open Sans"/>
              </w:rPr>
            </w:pPr>
            <w:r w:rsidRPr="006777B4">
              <w:rPr>
                <w:rFonts w:ascii="Open Sans" w:hAnsi="Open Sans"/>
              </w:rPr>
              <w:t>Mean</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F076548" w14:textId="77777777" w:rsidR="0090622E" w:rsidRPr="006777B4" w:rsidRDefault="0090622E" w:rsidP="003C2BBF">
            <w:pPr>
              <w:ind w:left="0" w:hanging="2"/>
              <w:jc w:val="center"/>
              <w:rPr>
                <w:rFonts w:ascii="Open Sans" w:hAnsi="Open Sans"/>
              </w:rPr>
            </w:pPr>
            <w:r w:rsidRPr="006777B4">
              <w:rPr>
                <w:rFonts w:ascii="Open Sans" w:hAnsi="Open Sans"/>
              </w:rPr>
              <w:t>Std. Deviation</w:t>
            </w:r>
          </w:p>
        </w:tc>
      </w:tr>
      <w:tr w:rsidR="0090622E" w:rsidRPr="006777B4" w14:paraId="12BB31C9" w14:textId="77777777" w:rsidTr="003C2BBF">
        <w:tc>
          <w:tcPr>
            <w:tcW w:w="1814" w:type="dxa"/>
            <w:tcBorders>
              <w:top w:val="single" w:sz="4" w:space="0" w:color="auto"/>
              <w:left w:val="single" w:sz="4" w:space="0" w:color="auto"/>
              <w:bottom w:val="single" w:sz="4" w:space="0" w:color="auto"/>
              <w:right w:val="single" w:sz="4" w:space="0" w:color="auto"/>
            </w:tcBorders>
            <w:vAlign w:val="center"/>
            <w:hideMark/>
          </w:tcPr>
          <w:p w14:paraId="50AE3F94" w14:textId="77777777" w:rsidR="0090622E" w:rsidRPr="006777B4" w:rsidRDefault="0090622E" w:rsidP="003C2BBF">
            <w:pPr>
              <w:ind w:left="0" w:hanging="2"/>
              <w:jc w:val="center"/>
              <w:rPr>
                <w:rFonts w:ascii="Open Sans" w:hAnsi="Open Sans"/>
              </w:rPr>
            </w:pPr>
            <w:r w:rsidRPr="006777B4">
              <w:rPr>
                <w:rFonts w:ascii="Open Sans" w:hAnsi="Open Sans"/>
              </w:rPr>
              <w:t>ROA (X1)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C9EA61" w14:textId="77777777" w:rsidR="0090622E" w:rsidRPr="006777B4" w:rsidRDefault="0090622E" w:rsidP="003C2BBF">
            <w:pPr>
              <w:ind w:left="0" w:hanging="2"/>
              <w:jc w:val="center"/>
              <w:rPr>
                <w:rFonts w:ascii="Open Sans" w:hAnsi="Open Sans"/>
              </w:rPr>
            </w:pPr>
            <w:r w:rsidRPr="006777B4">
              <w:rPr>
                <w:rFonts w:ascii="Open Sans" w:hAnsi="Open Sans"/>
              </w:rPr>
              <w:t>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316E5F" w14:textId="77777777" w:rsidR="0090622E" w:rsidRPr="006777B4" w:rsidRDefault="0090622E" w:rsidP="003C2BBF">
            <w:pPr>
              <w:ind w:left="0" w:hanging="2"/>
              <w:jc w:val="center"/>
              <w:rPr>
                <w:rFonts w:ascii="Open Sans" w:hAnsi="Open Sans"/>
              </w:rPr>
            </w:pPr>
            <w:r w:rsidRPr="006777B4">
              <w:rPr>
                <w:rFonts w:ascii="Open Sans" w:hAnsi="Open Sans"/>
              </w:rPr>
              <w:t>0.067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63F1E8" w14:textId="77777777" w:rsidR="0090622E" w:rsidRPr="006777B4" w:rsidRDefault="0090622E" w:rsidP="003C2BBF">
            <w:pPr>
              <w:ind w:left="0" w:hanging="2"/>
              <w:jc w:val="center"/>
              <w:rPr>
                <w:rFonts w:ascii="Open Sans" w:hAnsi="Open Sans"/>
              </w:rPr>
            </w:pPr>
            <w:r w:rsidRPr="006777B4">
              <w:rPr>
                <w:rFonts w:ascii="Open Sans" w:hAnsi="Open Sans"/>
              </w:rPr>
              <w:t>3.410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43F806" w14:textId="77777777" w:rsidR="0090622E" w:rsidRPr="006777B4" w:rsidRDefault="0090622E" w:rsidP="003C2BBF">
            <w:pPr>
              <w:ind w:left="0" w:hanging="2"/>
              <w:jc w:val="center"/>
              <w:rPr>
                <w:rFonts w:ascii="Open Sans" w:hAnsi="Open Sans"/>
              </w:rPr>
            </w:pPr>
            <w:r w:rsidRPr="006777B4">
              <w:rPr>
                <w:rFonts w:ascii="Open Sans" w:hAnsi="Open Sans"/>
              </w:rPr>
              <w:t>1.150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E8EAE23" w14:textId="77777777" w:rsidR="0090622E" w:rsidRPr="006777B4" w:rsidRDefault="0090622E" w:rsidP="003C2BBF">
            <w:pPr>
              <w:ind w:left="0" w:hanging="2"/>
              <w:jc w:val="center"/>
              <w:rPr>
                <w:rFonts w:ascii="Open Sans" w:hAnsi="Open Sans"/>
              </w:rPr>
            </w:pPr>
            <w:r w:rsidRPr="006777B4">
              <w:rPr>
                <w:rFonts w:ascii="Open Sans" w:hAnsi="Open Sans"/>
              </w:rPr>
              <w:t>0.729</w:t>
            </w:r>
          </w:p>
        </w:tc>
      </w:tr>
      <w:tr w:rsidR="0090622E" w:rsidRPr="006777B4" w14:paraId="0C4E787A" w14:textId="77777777" w:rsidTr="003C2BBF">
        <w:tc>
          <w:tcPr>
            <w:tcW w:w="1814" w:type="dxa"/>
            <w:tcBorders>
              <w:top w:val="single" w:sz="4" w:space="0" w:color="auto"/>
              <w:left w:val="single" w:sz="4" w:space="0" w:color="auto"/>
              <w:bottom w:val="single" w:sz="4" w:space="0" w:color="auto"/>
              <w:right w:val="single" w:sz="4" w:space="0" w:color="auto"/>
            </w:tcBorders>
            <w:vAlign w:val="center"/>
            <w:hideMark/>
          </w:tcPr>
          <w:p w14:paraId="3271A0EC" w14:textId="77777777" w:rsidR="0090622E" w:rsidRPr="006777B4" w:rsidRDefault="0090622E" w:rsidP="003C2BBF">
            <w:pPr>
              <w:ind w:left="0" w:hanging="2"/>
              <w:jc w:val="center"/>
              <w:rPr>
                <w:rFonts w:ascii="Open Sans" w:hAnsi="Open Sans"/>
              </w:rPr>
            </w:pPr>
            <w:r w:rsidRPr="006777B4">
              <w:rPr>
                <w:rFonts w:ascii="Open Sans" w:hAnsi="Open Sans"/>
              </w:rPr>
              <w:t>ROE (X2)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373A5A" w14:textId="77777777" w:rsidR="0090622E" w:rsidRPr="006777B4" w:rsidRDefault="0090622E" w:rsidP="003C2BBF">
            <w:pPr>
              <w:ind w:left="0" w:hanging="2"/>
              <w:jc w:val="center"/>
              <w:rPr>
                <w:rFonts w:ascii="Open Sans" w:hAnsi="Open Sans"/>
              </w:rPr>
            </w:pPr>
            <w:r w:rsidRPr="006777B4">
              <w:rPr>
                <w:rFonts w:ascii="Open Sans" w:hAnsi="Open Sans"/>
              </w:rPr>
              <w:t>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C66682" w14:textId="77777777" w:rsidR="0090622E" w:rsidRPr="006777B4" w:rsidRDefault="0090622E" w:rsidP="003C2BBF">
            <w:pPr>
              <w:ind w:left="0" w:hanging="2"/>
              <w:jc w:val="center"/>
              <w:rPr>
                <w:rFonts w:ascii="Open Sans" w:hAnsi="Open Sans"/>
              </w:rPr>
            </w:pPr>
            <w:r w:rsidRPr="006777B4">
              <w:rPr>
                <w:rFonts w:ascii="Open Sans" w:hAnsi="Open Sans"/>
              </w:rPr>
              <w:t>0.878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5784EF" w14:textId="77777777" w:rsidR="0090622E" w:rsidRPr="006777B4" w:rsidRDefault="0090622E" w:rsidP="003C2BBF">
            <w:pPr>
              <w:ind w:left="0" w:hanging="2"/>
              <w:jc w:val="center"/>
              <w:rPr>
                <w:rFonts w:ascii="Open Sans" w:hAnsi="Open Sans"/>
              </w:rPr>
            </w:pPr>
            <w:r w:rsidRPr="006777B4">
              <w:rPr>
                <w:rFonts w:ascii="Open Sans" w:hAnsi="Open Sans"/>
              </w:rPr>
              <w:t>26.919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939A78" w14:textId="77777777" w:rsidR="0090622E" w:rsidRPr="006777B4" w:rsidRDefault="0090622E" w:rsidP="003C2BBF">
            <w:pPr>
              <w:ind w:left="0" w:hanging="2"/>
              <w:jc w:val="center"/>
              <w:rPr>
                <w:rFonts w:ascii="Open Sans" w:hAnsi="Open Sans"/>
              </w:rPr>
            </w:pPr>
            <w:r w:rsidRPr="006777B4">
              <w:rPr>
                <w:rFonts w:ascii="Open Sans" w:hAnsi="Open Sans"/>
              </w:rPr>
              <w:t>9.146</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899B8AD" w14:textId="77777777" w:rsidR="0090622E" w:rsidRPr="006777B4" w:rsidRDefault="0090622E" w:rsidP="003C2BBF">
            <w:pPr>
              <w:ind w:left="0" w:hanging="2"/>
              <w:jc w:val="center"/>
              <w:rPr>
                <w:rFonts w:ascii="Open Sans" w:hAnsi="Open Sans"/>
              </w:rPr>
            </w:pPr>
            <w:r w:rsidRPr="006777B4">
              <w:rPr>
                <w:rFonts w:ascii="Open Sans" w:hAnsi="Open Sans"/>
              </w:rPr>
              <w:t>5.122</w:t>
            </w:r>
          </w:p>
        </w:tc>
      </w:tr>
      <w:tr w:rsidR="0090622E" w:rsidRPr="006777B4" w14:paraId="0C676CF4" w14:textId="77777777" w:rsidTr="003C2BBF">
        <w:tc>
          <w:tcPr>
            <w:tcW w:w="1814" w:type="dxa"/>
            <w:tcBorders>
              <w:top w:val="single" w:sz="4" w:space="0" w:color="auto"/>
              <w:left w:val="single" w:sz="4" w:space="0" w:color="auto"/>
              <w:bottom w:val="single" w:sz="4" w:space="0" w:color="auto"/>
              <w:right w:val="single" w:sz="4" w:space="0" w:color="auto"/>
            </w:tcBorders>
            <w:vAlign w:val="center"/>
            <w:hideMark/>
          </w:tcPr>
          <w:p w14:paraId="39709991" w14:textId="77777777" w:rsidR="0090622E" w:rsidRPr="006777B4" w:rsidRDefault="0090622E" w:rsidP="003C2BBF">
            <w:pPr>
              <w:ind w:left="0" w:hanging="2"/>
              <w:jc w:val="center"/>
              <w:rPr>
                <w:rFonts w:ascii="Open Sans" w:hAnsi="Open Sans"/>
              </w:rPr>
            </w:pPr>
            <w:r w:rsidRPr="006777B4">
              <w:rPr>
                <w:rFonts w:ascii="Open Sans" w:hAnsi="Open Sans"/>
              </w:rPr>
              <w:t>Nilai Perusahaan (Y)</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C020D3" w14:textId="77777777" w:rsidR="0090622E" w:rsidRPr="006777B4" w:rsidRDefault="0090622E" w:rsidP="003C2BBF">
            <w:pPr>
              <w:ind w:left="0" w:hanging="2"/>
              <w:jc w:val="center"/>
              <w:rPr>
                <w:rFonts w:ascii="Open Sans" w:hAnsi="Open Sans"/>
              </w:rPr>
            </w:pPr>
            <w:r w:rsidRPr="006777B4">
              <w:rPr>
                <w:rFonts w:ascii="Open Sans" w:hAnsi="Open Sans"/>
              </w:rPr>
              <w:t>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B80DA0" w14:textId="77777777" w:rsidR="0090622E" w:rsidRPr="006777B4" w:rsidRDefault="0090622E" w:rsidP="003C2BBF">
            <w:pPr>
              <w:ind w:left="0" w:hanging="2"/>
              <w:jc w:val="center"/>
              <w:rPr>
                <w:rFonts w:ascii="Open Sans" w:hAnsi="Open Sans"/>
              </w:rPr>
            </w:pPr>
            <w:r w:rsidRPr="006777B4">
              <w:rPr>
                <w:rFonts w:ascii="Open Sans" w:hAnsi="Open Sans"/>
              </w:rPr>
              <w:t>0.389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EF9E33" w14:textId="77777777" w:rsidR="0090622E" w:rsidRPr="006777B4" w:rsidRDefault="0090622E" w:rsidP="003C2BBF">
            <w:pPr>
              <w:ind w:left="0" w:hanging="2"/>
              <w:jc w:val="center"/>
              <w:rPr>
                <w:rFonts w:ascii="Open Sans" w:hAnsi="Open Sans"/>
              </w:rPr>
            </w:pPr>
            <w:r w:rsidRPr="006777B4">
              <w:rPr>
                <w:rFonts w:ascii="Open Sans" w:hAnsi="Open Sans"/>
              </w:rPr>
              <w:t>3.340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94D3BB" w14:textId="77777777" w:rsidR="0090622E" w:rsidRPr="006777B4" w:rsidRDefault="0090622E" w:rsidP="003C2BBF">
            <w:pPr>
              <w:ind w:left="0" w:hanging="2"/>
              <w:jc w:val="center"/>
              <w:rPr>
                <w:rFonts w:ascii="Open Sans" w:hAnsi="Open Sans"/>
              </w:rPr>
            </w:pPr>
            <w:r w:rsidRPr="006777B4">
              <w:rPr>
                <w:rFonts w:ascii="Open Sans" w:hAnsi="Open Sans"/>
              </w:rPr>
              <w:t>1.591</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E8B9888" w14:textId="77777777" w:rsidR="0090622E" w:rsidRPr="006777B4" w:rsidRDefault="0090622E" w:rsidP="003C2BBF">
            <w:pPr>
              <w:ind w:left="0" w:hanging="2"/>
              <w:jc w:val="center"/>
              <w:rPr>
                <w:rFonts w:ascii="Open Sans" w:hAnsi="Open Sans"/>
              </w:rPr>
            </w:pPr>
            <w:r w:rsidRPr="006777B4">
              <w:rPr>
                <w:rFonts w:ascii="Open Sans" w:hAnsi="Open Sans"/>
              </w:rPr>
              <w:t>0.675</w:t>
            </w:r>
          </w:p>
        </w:tc>
      </w:tr>
      <w:tr w:rsidR="0090622E" w:rsidRPr="006777B4" w14:paraId="6A457C9A" w14:textId="77777777" w:rsidTr="003C2BBF">
        <w:tc>
          <w:tcPr>
            <w:tcW w:w="1814" w:type="dxa"/>
            <w:tcBorders>
              <w:top w:val="single" w:sz="4" w:space="0" w:color="auto"/>
              <w:left w:val="single" w:sz="4" w:space="0" w:color="auto"/>
              <w:bottom w:val="single" w:sz="4" w:space="0" w:color="auto"/>
              <w:right w:val="single" w:sz="4" w:space="0" w:color="auto"/>
            </w:tcBorders>
            <w:vAlign w:val="center"/>
            <w:hideMark/>
          </w:tcPr>
          <w:p w14:paraId="76CB946B" w14:textId="77777777" w:rsidR="0090622E" w:rsidRPr="006777B4" w:rsidRDefault="0090622E" w:rsidP="003C2BBF">
            <w:pPr>
              <w:ind w:left="0" w:hanging="2"/>
              <w:jc w:val="center"/>
              <w:rPr>
                <w:rFonts w:ascii="Open Sans" w:hAnsi="Open Sans"/>
              </w:rPr>
            </w:pPr>
            <w:r w:rsidRPr="006777B4">
              <w:rPr>
                <w:rFonts w:ascii="Open Sans" w:hAnsi="Open Sans"/>
              </w:rPr>
              <w:t>CSR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09CD85" w14:textId="77777777" w:rsidR="0090622E" w:rsidRPr="006777B4" w:rsidRDefault="0090622E" w:rsidP="003C2BBF">
            <w:pPr>
              <w:ind w:left="0" w:hanging="2"/>
              <w:jc w:val="center"/>
              <w:rPr>
                <w:rFonts w:ascii="Open Sans" w:hAnsi="Open Sans"/>
              </w:rPr>
            </w:pPr>
            <w:r w:rsidRPr="006777B4">
              <w:rPr>
                <w:rFonts w:ascii="Open Sans" w:hAnsi="Open Sans"/>
              </w:rPr>
              <w:t>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1E62E0" w14:textId="77777777" w:rsidR="0090622E" w:rsidRPr="006777B4" w:rsidRDefault="0090622E" w:rsidP="003C2BBF">
            <w:pPr>
              <w:ind w:left="0" w:hanging="2"/>
              <w:jc w:val="center"/>
              <w:rPr>
                <w:rFonts w:ascii="Open Sans" w:hAnsi="Open Sans"/>
              </w:rPr>
            </w:pPr>
            <w:r w:rsidRPr="006777B4">
              <w:rPr>
                <w:rFonts w:ascii="Open Sans" w:hAnsi="Open Sans"/>
              </w:rPr>
              <w:t>0.055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C3F315" w14:textId="77777777" w:rsidR="0090622E" w:rsidRPr="006777B4" w:rsidRDefault="0090622E" w:rsidP="003C2BBF">
            <w:pPr>
              <w:ind w:left="0" w:hanging="2"/>
              <w:jc w:val="center"/>
              <w:rPr>
                <w:rFonts w:ascii="Open Sans" w:hAnsi="Open Sans"/>
              </w:rPr>
            </w:pPr>
            <w:r w:rsidRPr="006777B4">
              <w:rPr>
                <w:rFonts w:ascii="Open Sans" w:hAnsi="Open Sans"/>
              </w:rPr>
              <w:t>0.626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513FF3" w14:textId="77777777" w:rsidR="0090622E" w:rsidRPr="006777B4" w:rsidRDefault="0090622E" w:rsidP="003C2BBF">
            <w:pPr>
              <w:ind w:left="0" w:hanging="2"/>
              <w:jc w:val="center"/>
              <w:rPr>
                <w:rFonts w:ascii="Open Sans" w:hAnsi="Open Sans"/>
              </w:rPr>
            </w:pPr>
            <w:r w:rsidRPr="006777B4">
              <w:rPr>
                <w:rFonts w:ascii="Open Sans" w:hAnsi="Open Sans"/>
              </w:rPr>
              <w:t>0.301</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20F2685" w14:textId="77777777" w:rsidR="0090622E" w:rsidRPr="006777B4" w:rsidRDefault="0090622E" w:rsidP="003C2BBF">
            <w:pPr>
              <w:ind w:left="0" w:hanging="2"/>
              <w:jc w:val="center"/>
              <w:rPr>
                <w:rFonts w:ascii="Open Sans" w:hAnsi="Open Sans"/>
              </w:rPr>
            </w:pPr>
            <w:r w:rsidRPr="006777B4">
              <w:rPr>
                <w:rFonts w:ascii="Open Sans" w:hAnsi="Open Sans"/>
              </w:rPr>
              <w:t>0.161</w:t>
            </w:r>
          </w:p>
        </w:tc>
      </w:tr>
    </w:tbl>
    <w:p w14:paraId="06CA1A4F" w14:textId="77777777" w:rsidR="008538E8" w:rsidRPr="006777B4" w:rsidRDefault="008B515A" w:rsidP="008538E8">
      <w:pPr>
        <w:jc w:val="center"/>
        <w:rPr>
          <w:rFonts w:ascii="Open Sans" w:hAnsi="Open Sans"/>
          <w:lang w:val="en-GB" w:eastAsia="en-GB"/>
        </w:rPr>
      </w:pPr>
      <w:r w:rsidRPr="006777B4">
        <w:rPr>
          <w:rFonts w:ascii="Open Sans" w:hAnsi="Open Sans"/>
          <w:lang w:val="en-GB" w:eastAsia="en-GB"/>
        </w:rPr>
        <w:t>Source: Data processed by researchers (2024)</w:t>
      </w:r>
    </w:p>
    <w:p w14:paraId="125FED91" w14:textId="77777777" w:rsidR="00CC2844" w:rsidRDefault="00CC2844" w:rsidP="00CC2844">
      <w:pPr>
        <w:ind w:firstLine="360"/>
        <w:jc w:val="both"/>
        <w:rPr>
          <w:rFonts w:ascii="Open Sans" w:hAnsi="Open Sans"/>
          <w:lang w:val="en-GB" w:eastAsia="en-GB"/>
        </w:rPr>
      </w:pPr>
      <w:r w:rsidRPr="006777B4">
        <w:rPr>
          <w:rFonts w:ascii="Open Sans" w:hAnsi="Open Sans"/>
        </w:rPr>
        <w:t>V</w:t>
      </w:r>
      <w:r w:rsidR="008538E8" w:rsidRPr="006777B4">
        <w:rPr>
          <w:rFonts w:ascii="Open Sans" w:hAnsi="Open Sans"/>
        </w:rPr>
        <w:t>ariations in the state-owned bank</w:t>
      </w:r>
      <w:r>
        <w:rPr>
          <w:rFonts w:ascii="Open Sans" w:hAnsi="Open Sans"/>
          <w:lang w:val="en-US"/>
        </w:rPr>
        <w:t>’</w:t>
      </w:r>
      <w:r w:rsidR="008538E8" w:rsidRPr="006777B4">
        <w:rPr>
          <w:rFonts w:ascii="Open Sans" w:hAnsi="Open Sans"/>
        </w:rPr>
        <w:t>s</w:t>
      </w:r>
      <w:r>
        <w:rPr>
          <w:rFonts w:ascii="Open Sans" w:hAnsi="Open Sans"/>
          <w:lang w:val="en-US"/>
        </w:rPr>
        <w:t xml:space="preserve"> main indicators across the study </w:t>
      </w:r>
      <w:r>
        <w:rPr>
          <w:rFonts w:ascii="Open Sans" w:hAnsi="Open Sans"/>
        </w:rPr>
        <w:t>period (2013-2022) were found by the analysis.</w:t>
      </w:r>
    </w:p>
    <w:p w14:paraId="0529953E" w14:textId="77777777" w:rsidR="008538E8" w:rsidRPr="006777B4" w:rsidRDefault="00CC2844" w:rsidP="00CC2844">
      <w:pPr>
        <w:ind w:firstLine="360"/>
        <w:jc w:val="both"/>
        <w:rPr>
          <w:rFonts w:ascii="Open Sans" w:hAnsi="Open Sans"/>
          <w:lang w:val="en-GB" w:eastAsia="en-GB"/>
        </w:rPr>
      </w:pPr>
      <w:r>
        <w:rPr>
          <w:rFonts w:ascii="Open Sans" w:hAnsi="Open Sans"/>
        </w:rPr>
        <w:t>Price-to-Book Ratio (PBV) values for the company varied from</w:t>
      </w:r>
      <w:r w:rsidR="008538E8" w:rsidRPr="006777B4">
        <w:rPr>
          <w:rFonts w:ascii="Open Sans" w:hAnsi="Open Sans"/>
        </w:rPr>
        <w:t xml:space="preserve"> </w:t>
      </w:r>
      <w:r>
        <w:rPr>
          <w:rFonts w:ascii="Open Sans" w:hAnsi="Open Sans"/>
          <w:lang w:val="en-US"/>
        </w:rPr>
        <w:t>a low of</w:t>
      </w:r>
      <w:r w:rsidR="008538E8" w:rsidRPr="006777B4">
        <w:rPr>
          <w:rFonts w:ascii="Open Sans" w:hAnsi="Open Sans"/>
        </w:rPr>
        <w:t xml:space="preserve"> 0.389 </w:t>
      </w:r>
      <w:r>
        <w:rPr>
          <w:rFonts w:ascii="Open Sans" w:hAnsi="Open Sans"/>
          <w:lang w:val="en-US"/>
        </w:rPr>
        <w:t>to high</w:t>
      </w:r>
      <w:r w:rsidR="008538E8" w:rsidRPr="006777B4">
        <w:rPr>
          <w:rFonts w:ascii="Open Sans" w:hAnsi="Open Sans"/>
        </w:rPr>
        <w:t xml:space="preserve"> of 3.340, with an average of 1.591. Bank BRI achieved the highest PBV of 3.340 in Q1 2013, while their lowest was 0.389 in Q4 2016.</w:t>
      </w:r>
    </w:p>
    <w:p w14:paraId="274F1C87" w14:textId="77777777" w:rsidR="008538E8" w:rsidRPr="006777B4" w:rsidRDefault="008538E8" w:rsidP="008538E8">
      <w:pPr>
        <w:ind w:firstLine="360"/>
        <w:jc w:val="both"/>
        <w:rPr>
          <w:rFonts w:ascii="Open Sans" w:hAnsi="Open Sans"/>
          <w:lang w:val="en-GB" w:eastAsia="en-GB"/>
        </w:rPr>
      </w:pPr>
      <w:r w:rsidRPr="006777B4">
        <w:rPr>
          <w:rFonts w:ascii="Open Sans" w:hAnsi="Open Sans"/>
        </w:rPr>
        <w:t>Return on Assets (ROA) displayed a similar pattern, with values between 0.067 and 3.410, averaging 1.150. The highest ROA (3.410) was recorded by Bank BRI in Q4 2013, and the lowest (0.067) by Bank BTN in Q4 2019.</w:t>
      </w:r>
    </w:p>
    <w:p w14:paraId="210638F1" w14:textId="77777777" w:rsidR="008538E8" w:rsidRPr="006777B4" w:rsidRDefault="008538E8" w:rsidP="008538E8">
      <w:pPr>
        <w:ind w:firstLine="360"/>
        <w:jc w:val="both"/>
        <w:rPr>
          <w:rFonts w:ascii="Open Sans" w:hAnsi="Open Sans"/>
          <w:lang w:val="en-GB" w:eastAsia="en-GB"/>
        </w:rPr>
      </w:pPr>
      <w:r w:rsidRPr="006777B4">
        <w:rPr>
          <w:rFonts w:ascii="Open Sans" w:hAnsi="Open Sans"/>
        </w:rPr>
        <w:t>Return on Equity (ROE) also exhibited variations, with a minimum of 0.878 and a maximum of 26.919, averaging 9.146. Similar to ROA, Bank BRI had the highest ROE (26.919) in Q4 2013, and Bank BTN had the lowest (0.878) in Q4 2019.</w:t>
      </w:r>
    </w:p>
    <w:p w14:paraId="06C33D7C" w14:textId="77777777" w:rsidR="008538E8" w:rsidRPr="006777B4" w:rsidRDefault="008538E8" w:rsidP="008538E8">
      <w:pPr>
        <w:ind w:firstLine="360"/>
        <w:jc w:val="both"/>
        <w:rPr>
          <w:rFonts w:ascii="Open Sans" w:hAnsi="Open Sans"/>
          <w:lang w:val="en-GB" w:eastAsia="en-GB"/>
        </w:rPr>
      </w:pPr>
      <w:r w:rsidRPr="006777B4">
        <w:rPr>
          <w:rFonts w:ascii="Open Sans" w:hAnsi="Open Sans"/>
        </w:rPr>
        <w:t>Corporate Social Responsibility (CSR) scores ranged from 0.055 to 0.626, with an average of 0.301. Bank Mandiri achieved the highest CSR score (0.626) in 2016, while their score dipped to the lowest (0.055) in 2017.</w:t>
      </w:r>
    </w:p>
    <w:p w14:paraId="0B1A7FEA" w14:textId="77777777" w:rsidR="008B515A" w:rsidRPr="006777B4" w:rsidRDefault="008B515A" w:rsidP="008538E8">
      <w:pPr>
        <w:jc w:val="both"/>
        <w:rPr>
          <w:rFonts w:ascii="Open Sans" w:hAnsi="Open Sans"/>
        </w:rPr>
      </w:pPr>
    </w:p>
    <w:p w14:paraId="12A9DA86" w14:textId="77777777" w:rsidR="00302F7B" w:rsidRPr="006777B4" w:rsidRDefault="008B515A" w:rsidP="0090622E">
      <w:pPr>
        <w:jc w:val="both"/>
        <w:rPr>
          <w:rFonts w:ascii="Open Sans" w:hAnsi="Open Sans"/>
          <w:b/>
        </w:rPr>
      </w:pPr>
      <w:r w:rsidRPr="006777B4">
        <w:rPr>
          <w:rFonts w:ascii="Open Sans" w:hAnsi="Open Sans"/>
          <w:b/>
        </w:rPr>
        <w:t>Measureme</w:t>
      </w:r>
      <w:r w:rsidR="00302F7B" w:rsidRPr="006777B4">
        <w:rPr>
          <w:rFonts w:ascii="Open Sans" w:hAnsi="Open Sans"/>
          <w:b/>
        </w:rPr>
        <w:t>nt Model Analysis (Outer Model)</w:t>
      </w:r>
    </w:p>
    <w:p w14:paraId="19310818" w14:textId="77777777" w:rsidR="008538E8" w:rsidRPr="006777B4" w:rsidRDefault="008B515A" w:rsidP="008538E8">
      <w:pPr>
        <w:jc w:val="both"/>
        <w:rPr>
          <w:rFonts w:ascii="Open Sans" w:hAnsi="Open Sans"/>
          <w:b/>
        </w:rPr>
      </w:pPr>
      <w:r w:rsidRPr="006777B4">
        <w:rPr>
          <w:rFonts w:ascii="Open Sans" w:hAnsi="Open Sans"/>
          <w:b/>
        </w:rPr>
        <w:t>Convergent Validity</w:t>
      </w:r>
    </w:p>
    <w:p w14:paraId="09104A27" w14:textId="77777777" w:rsidR="008538E8" w:rsidRPr="006777B4" w:rsidRDefault="00EC0265" w:rsidP="00ED3766">
      <w:pPr>
        <w:ind w:firstLine="720"/>
        <w:jc w:val="both"/>
        <w:rPr>
          <w:rFonts w:ascii="Open Sans" w:hAnsi="Open Sans"/>
        </w:rPr>
      </w:pPr>
      <w:r>
        <w:rPr>
          <w:rFonts w:ascii="Open Sans" w:hAnsi="Open Sans"/>
          <w:lang w:val="en-US"/>
        </w:rPr>
        <w:t xml:space="preserve">In lieu of convergent validity, partial least square (PLS) is used in this research to evaluate indicator dependability. This is accomplished by looking at the relationship between each indicator’s score and </w:t>
      </w:r>
      <w:proofErr w:type="spellStart"/>
      <w:r>
        <w:rPr>
          <w:rFonts w:ascii="Open Sans" w:hAnsi="Open Sans"/>
          <w:lang w:val="en-US"/>
        </w:rPr>
        <w:t>te</w:t>
      </w:r>
      <w:proofErr w:type="spellEnd"/>
      <w:r>
        <w:rPr>
          <w:rFonts w:ascii="Open Sans" w:hAnsi="Open Sans"/>
          <w:lang w:val="en-US"/>
        </w:rPr>
        <w:t xml:space="preserve"> construct it </w:t>
      </w:r>
      <w:proofErr w:type="spellStart"/>
      <w:r>
        <w:rPr>
          <w:rFonts w:ascii="Open Sans" w:hAnsi="Open Sans"/>
          <w:lang w:val="en-US"/>
        </w:rPr>
        <w:t>represents’s</w:t>
      </w:r>
      <w:proofErr w:type="spellEnd"/>
      <w:r>
        <w:rPr>
          <w:rFonts w:ascii="Open Sans" w:hAnsi="Open Sans"/>
          <w:lang w:val="en-US"/>
        </w:rPr>
        <w:t xml:space="preserve"> total score. When an indicator has a significant correlation (usually more than 0.70), it is considered to be a reliable measure of the underlying idea. Regarding the outcomes of outer loading:</w:t>
      </w:r>
    </w:p>
    <w:p w14:paraId="50F96DF1" w14:textId="77777777" w:rsidR="0090622E" w:rsidRPr="006777B4" w:rsidRDefault="00EC51F4" w:rsidP="008538E8">
      <w:pPr>
        <w:jc w:val="center"/>
        <w:rPr>
          <w:rFonts w:ascii="Open Sans" w:hAnsi="Open Sans"/>
          <w:b/>
        </w:rPr>
      </w:pPr>
      <w:r w:rsidRPr="006777B4">
        <w:rPr>
          <w:rFonts w:ascii="Open Sans" w:hAnsi="Open Sans"/>
          <w:b/>
        </w:rPr>
        <w:t>Table 2. Outer Loading Results</w:t>
      </w:r>
    </w:p>
    <w:tbl>
      <w:tblPr>
        <w:tblStyle w:val="TableGrid"/>
        <w:tblW w:w="7605" w:type="dxa"/>
        <w:jc w:val="center"/>
        <w:tblInd w:w="0" w:type="dxa"/>
        <w:tblLayout w:type="fixed"/>
        <w:tblLook w:val="04A0" w:firstRow="1" w:lastRow="0" w:firstColumn="1" w:lastColumn="0" w:noHBand="0" w:noVBand="1"/>
      </w:tblPr>
      <w:tblGrid>
        <w:gridCol w:w="1276"/>
        <w:gridCol w:w="823"/>
        <w:gridCol w:w="1444"/>
        <w:gridCol w:w="1558"/>
        <w:gridCol w:w="849"/>
        <w:gridCol w:w="850"/>
        <w:gridCol w:w="805"/>
      </w:tblGrid>
      <w:tr w:rsidR="0090622E" w:rsidRPr="006777B4" w14:paraId="4D88D896" w14:textId="77777777" w:rsidTr="00EC51F4">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BFBA419" w14:textId="77777777" w:rsidR="0090622E" w:rsidRPr="006777B4" w:rsidRDefault="0090622E" w:rsidP="004E57F3">
            <w:pPr>
              <w:ind w:left="0" w:hanging="2"/>
              <w:jc w:val="center"/>
              <w:rPr>
                <w:rFonts w:ascii="Open Sans" w:hAnsi="Open Sans"/>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4FD31BFD" w14:textId="77777777" w:rsidR="0090622E" w:rsidRPr="006777B4" w:rsidRDefault="0090622E" w:rsidP="004E57F3">
            <w:pPr>
              <w:ind w:left="0" w:hanging="2"/>
              <w:jc w:val="center"/>
              <w:rPr>
                <w:rFonts w:ascii="Open Sans" w:hAnsi="Open Sans"/>
              </w:rPr>
            </w:pPr>
            <w:r w:rsidRPr="006777B4">
              <w:rPr>
                <w:rFonts w:ascii="Open Sans" w:hAnsi="Open Sans"/>
              </w:rPr>
              <w:t>CSR</w:t>
            </w:r>
          </w:p>
        </w:tc>
        <w:tc>
          <w:tcPr>
            <w:tcW w:w="1444" w:type="dxa"/>
            <w:tcBorders>
              <w:top w:val="single" w:sz="4" w:space="0" w:color="auto"/>
              <w:left w:val="single" w:sz="4" w:space="0" w:color="auto"/>
              <w:bottom w:val="single" w:sz="4" w:space="0" w:color="auto"/>
              <w:right w:val="single" w:sz="4" w:space="0" w:color="auto"/>
            </w:tcBorders>
            <w:vAlign w:val="center"/>
            <w:hideMark/>
          </w:tcPr>
          <w:p w14:paraId="70E588A2" w14:textId="77777777" w:rsidR="0090622E" w:rsidRPr="006777B4" w:rsidRDefault="0090622E" w:rsidP="004E57F3">
            <w:pPr>
              <w:ind w:left="0" w:hanging="2"/>
              <w:jc w:val="center"/>
              <w:rPr>
                <w:rFonts w:ascii="Open Sans" w:hAnsi="Open Sans"/>
              </w:rPr>
            </w:pPr>
            <w:r w:rsidRPr="006777B4">
              <w:rPr>
                <w:rFonts w:ascii="Open Sans" w:hAnsi="Open Sans"/>
              </w:rPr>
              <w:t>Moderating 1</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0B792E2" w14:textId="77777777" w:rsidR="0090622E" w:rsidRPr="006777B4" w:rsidRDefault="0090622E" w:rsidP="004E57F3">
            <w:pPr>
              <w:ind w:left="0" w:hanging="2"/>
              <w:jc w:val="center"/>
              <w:rPr>
                <w:rFonts w:ascii="Open Sans" w:hAnsi="Open Sans"/>
              </w:rPr>
            </w:pPr>
            <w:r w:rsidRPr="006777B4">
              <w:rPr>
                <w:rFonts w:ascii="Open Sans" w:hAnsi="Open Sans"/>
              </w:rPr>
              <w:t>Moderating 2</w:t>
            </w:r>
          </w:p>
        </w:tc>
        <w:tc>
          <w:tcPr>
            <w:tcW w:w="849" w:type="dxa"/>
            <w:tcBorders>
              <w:top w:val="single" w:sz="4" w:space="0" w:color="auto"/>
              <w:left w:val="single" w:sz="4" w:space="0" w:color="auto"/>
              <w:bottom w:val="single" w:sz="4" w:space="0" w:color="auto"/>
              <w:right w:val="single" w:sz="4" w:space="0" w:color="auto"/>
            </w:tcBorders>
            <w:vAlign w:val="center"/>
            <w:hideMark/>
          </w:tcPr>
          <w:p w14:paraId="0D8AAE76" w14:textId="77777777" w:rsidR="0090622E" w:rsidRPr="006777B4" w:rsidRDefault="0090622E" w:rsidP="004E57F3">
            <w:pPr>
              <w:ind w:left="0" w:hanging="2"/>
              <w:jc w:val="center"/>
              <w:rPr>
                <w:rFonts w:ascii="Open Sans" w:hAnsi="Open Sans"/>
              </w:rPr>
            </w:pPr>
            <w:r w:rsidRPr="006777B4">
              <w:rPr>
                <w:rFonts w:ascii="Open Sans" w:hAnsi="Open Sans"/>
              </w:rPr>
              <w:t>PBV</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53ADDA" w14:textId="77777777" w:rsidR="0090622E" w:rsidRPr="006777B4" w:rsidRDefault="0090622E" w:rsidP="004E57F3">
            <w:pPr>
              <w:ind w:left="0" w:hanging="2"/>
              <w:jc w:val="center"/>
              <w:rPr>
                <w:rFonts w:ascii="Open Sans" w:hAnsi="Open Sans"/>
              </w:rPr>
            </w:pPr>
            <w:r w:rsidRPr="006777B4">
              <w:rPr>
                <w:rFonts w:ascii="Open Sans" w:hAnsi="Open Sans"/>
              </w:rPr>
              <w:t>ROA</w:t>
            </w:r>
          </w:p>
        </w:tc>
        <w:tc>
          <w:tcPr>
            <w:tcW w:w="805" w:type="dxa"/>
            <w:tcBorders>
              <w:top w:val="single" w:sz="4" w:space="0" w:color="auto"/>
              <w:left w:val="single" w:sz="4" w:space="0" w:color="auto"/>
              <w:bottom w:val="single" w:sz="4" w:space="0" w:color="auto"/>
              <w:right w:val="single" w:sz="4" w:space="0" w:color="auto"/>
            </w:tcBorders>
            <w:vAlign w:val="center"/>
            <w:hideMark/>
          </w:tcPr>
          <w:p w14:paraId="51413486" w14:textId="77777777" w:rsidR="0090622E" w:rsidRPr="006777B4" w:rsidRDefault="0090622E" w:rsidP="004E57F3">
            <w:pPr>
              <w:ind w:left="0" w:hanging="2"/>
              <w:jc w:val="center"/>
              <w:rPr>
                <w:rFonts w:ascii="Open Sans" w:hAnsi="Open Sans"/>
              </w:rPr>
            </w:pPr>
            <w:r w:rsidRPr="006777B4">
              <w:rPr>
                <w:rFonts w:ascii="Open Sans" w:hAnsi="Open Sans"/>
              </w:rPr>
              <w:t>ROE</w:t>
            </w:r>
          </w:p>
        </w:tc>
      </w:tr>
      <w:tr w:rsidR="0090622E" w:rsidRPr="006777B4" w14:paraId="235917B2" w14:textId="77777777" w:rsidTr="00EC51F4">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15E9DF84" w14:textId="77777777" w:rsidR="0090622E" w:rsidRPr="006777B4" w:rsidRDefault="0090622E" w:rsidP="004E57F3">
            <w:pPr>
              <w:ind w:left="0" w:hanging="2"/>
              <w:jc w:val="center"/>
              <w:rPr>
                <w:rFonts w:ascii="Open Sans" w:hAnsi="Open Sans"/>
              </w:rPr>
            </w:pPr>
            <w:r w:rsidRPr="006777B4">
              <w:rPr>
                <w:rFonts w:ascii="Open Sans" w:hAnsi="Open Sans"/>
              </w:rPr>
              <w:t>CSR</w:t>
            </w:r>
          </w:p>
        </w:tc>
        <w:tc>
          <w:tcPr>
            <w:tcW w:w="823" w:type="dxa"/>
            <w:tcBorders>
              <w:top w:val="single" w:sz="4" w:space="0" w:color="auto"/>
              <w:left w:val="single" w:sz="4" w:space="0" w:color="auto"/>
              <w:bottom w:val="single" w:sz="4" w:space="0" w:color="auto"/>
              <w:right w:val="single" w:sz="4" w:space="0" w:color="auto"/>
            </w:tcBorders>
            <w:vAlign w:val="center"/>
            <w:hideMark/>
          </w:tcPr>
          <w:p w14:paraId="48308971" w14:textId="77777777" w:rsidR="0090622E" w:rsidRPr="006777B4" w:rsidRDefault="0090622E" w:rsidP="004E57F3">
            <w:pPr>
              <w:ind w:left="0" w:hanging="2"/>
              <w:jc w:val="center"/>
              <w:rPr>
                <w:rFonts w:ascii="Open Sans" w:hAnsi="Open Sans"/>
              </w:rPr>
            </w:pPr>
            <w:r w:rsidRPr="006777B4">
              <w:rPr>
                <w:rFonts w:ascii="Open Sans" w:hAnsi="Open Sans"/>
              </w:rPr>
              <w:t>1.000</w:t>
            </w:r>
          </w:p>
        </w:tc>
        <w:tc>
          <w:tcPr>
            <w:tcW w:w="1444" w:type="dxa"/>
            <w:tcBorders>
              <w:top w:val="single" w:sz="4" w:space="0" w:color="auto"/>
              <w:left w:val="single" w:sz="4" w:space="0" w:color="auto"/>
              <w:bottom w:val="single" w:sz="4" w:space="0" w:color="auto"/>
              <w:right w:val="single" w:sz="4" w:space="0" w:color="auto"/>
            </w:tcBorders>
            <w:vAlign w:val="center"/>
          </w:tcPr>
          <w:p w14:paraId="0915A0A0" w14:textId="77777777" w:rsidR="0090622E" w:rsidRPr="006777B4" w:rsidRDefault="0090622E" w:rsidP="004E57F3">
            <w:pPr>
              <w:ind w:left="0" w:hanging="2"/>
              <w:jc w:val="center"/>
              <w:rPr>
                <w:rFonts w:ascii="Open Sans" w:hAnsi="Open Sans"/>
              </w:rPr>
            </w:pPr>
          </w:p>
        </w:tc>
        <w:tc>
          <w:tcPr>
            <w:tcW w:w="1558" w:type="dxa"/>
            <w:tcBorders>
              <w:top w:val="single" w:sz="4" w:space="0" w:color="auto"/>
              <w:left w:val="single" w:sz="4" w:space="0" w:color="auto"/>
              <w:bottom w:val="single" w:sz="4" w:space="0" w:color="auto"/>
              <w:right w:val="single" w:sz="4" w:space="0" w:color="auto"/>
            </w:tcBorders>
            <w:vAlign w:val="center"/>
          </w:tcPr>
          <w:p w14:paraId="1DBFD52C" w14:textId="77777777" w:rsidR="0090622E" w:rsidRPr="006777B4" w:rsidRDefault="0090622E" w:rsidP="004E57F3">
            <w:pPr>
              <w:ind w:left="0" w:hanging="2"/>
              <w:jc w:val="center"/>
              <w:rPr>
                <w:rFonts w:ascii="Open Sans" w:hAnsi="Open Sans"/>
              </w:rPr>
            </w:pPr>
          </w:p>
        </w:tc>
        <w:tc>
          <w:tcPr>
            <w:tcW w:w="849" w:type="dxa"/>
            <w:tcBorders>
              <w:top w:val="single" w:sz="4" w:space="0" w:color="auto"/>
              <w:left w:val="single" w:sz="4" w:space="0" w:color="auto"/>
              <w:bottom w:val="single" w:sz="4" w:space="0" w:color="auto"/>
              <w:right w:val="single" w:sz="4" w:space="0" w:color="auto"/>
            </w:tcBorders>
            <w:vAlign w:val="center"/>
          </w:tcPr>
          <w:p w14:paraId="6361B18E" w14:textId="77777777" w:rsidR="0090622E" w:rsidRPr="006777B4" w:rsidRDefault="0090622E" w:rsidP="004E57F3">
            <w:pPr>
              <w:ind w:left="0" w:hanging="2"/>
              <w:jc w:val="center"/>
              <w:rPr>
                <w:rFonts w:ascii="Open Sans" w:hAnsi="Open Sans"/>
              </w:rPr>
            </w:pPr>
          </w:p>
        </w:tc>
        <w:tc>
          <w:tcPr>
            <w:tcW w:w="850" w:type="dxa"/>
            <w:tcBorders>
              <w:top w:val="single" w:sz="4" w:space="0" w:color="auto"/>
              <w:left w:val="single" w:sz="4" w:space="0" w:color="auto"/>
              <w:bottom w:val="single" w:sz="4" w:space="0" w:color="auto"/>
              <w:right w:val="single" w:sz="4" w:space="0" w:color="auto"/>
            </w:tcBorders>
            <w:vAlign w:val="center"/>
          </w:tcPr>
          <w:p w14:paraId="35E573BF" w14:textId="77777777" w:rsidR="0090622E" w:rsidRPr="006777B4" w:rsidRDefault="0090622E" w:rsidP="004E57F3">
            <w:pPr>
              <w:ind w:left="0" w:hanging="2"/>
              <w:jc w:val="center"/>
              <w:rPr>
                <w:rFonts w:ascii="Open Sans" w:hAnsi="Open Sans"/>
              </w:rPr>
            </w:pPr>
          </w:p>
        </w:tc>
        <w:tc>
          <w:tcPr>
            <w:tcW w:w="805" w:type="dxa"/>
            <w:tcBorders>
              <w:top w:val="single" w:sz="4" w:space="0" w:color="auto"/>
              <w:left w:val="single" w:sz="4" w:space="0" w:color="auto"/>
              <w:bottom w:val="single" w:sz="4" w:space="0" w:color="auto"/>
              <w:right w:val="single" w:sz="4" w:space="0" w:color="auto"/>
            </w:tcBorders>
            <w:vAlign w:val="center"/>
          </w:tcPr>
          <w:p w14:paraId="3E963416" w14:textId="77777777" w:rsidR="0090622E" w:rsidRPr="006777B4" w:rsidRDefault="0090622E" w:rsidP="004E57F3">
            <w:pPr>
              <w:ind w:left="0" w:hanging="2"/>
              <w:jc w:val="center"/>
              <w:rPr>
                <w:rFonts w:ascii="Open Sans" w:hAnsi="Open Sans"/>
              </w:rPr>
            </w:pPr>
          </w:p>
        </w:tc>
      </w:tr>
      <w:tr w:rsidR="0090622E" w:rsidRPr="006777B4" w14:paraId="0F08EA3B" w14:textId="77777777" w:rsidTr="00EC51F4">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2BEECA21" w14:textId="77777777" w:rsidR="0090622E" w:rsidRPr="006777B4" w:rsidRDefault="0090622E" w:rsidP="004E57F3">
            <w:pPr>
              <w:ind w:left="0" w:hanging="2"/>
              <w:jc w:val="center"/>
              <w:rPr>
                <w:rFonts w:ascii="Open Sans" w:hAnsi="Open Sans"/>
              </w:rPr>
            </w:pPr>
            <w:r w:rsidRPr="006777B4">
              <w:rPr>
                <w:rFonts w:ascii="Open Sans" w:hAnsi="Open Sans"/>
              </w:rPr>
              <w:t>PBV</w:t>
            </w:r>
          </w:p>
        </w:tc>
        <w:tc>
          <w:tcPr>
            <w:tcW w:w="823" w:type="dxa"/>
            <w:tcBorders>
              <w:top w:val="single" w:sz="4" w:space="0" w:color="auto"/>
              <w:left w:val="single" w:sz="4" w:space="0" w:color="auto"/>
              <w:bottom w:val="single" w:sz="4" w:space="0" w:color="auto"/>
              <w:right w:val="single" w:sz="4" w:space="0" w:color="auto"/>
            </w:tcBorders>
            <w:vAlign w:val="center"/>
          </w:tcPr>
          <w:p w14:paraId="02CD0BE4" w14:textId="77777777" w:rsidR="0090622E" w:rsidRPr="006777B4" w:rsidRDefault="0090622E" w:rsidP="004E57F3">
            <w:pPr>
              <w:ind w:left="0" w:hanging="2"/>
              <w:jc w:val="center"/>
              <w:rPr>
                <w:rFonts w:ascii="Open Sans" w:hAnsi="Open Sans"/>
              </w:rPr>
            </w:pPr>
          </w:p>
        </w:tc>
        <w:tc>
          <w:tcPr>
            <w:tcW w:w="1444" w:type="dxa"/>
            <w:tcBorders>
              <w:top w:val="single" w:sz="4" w:space="0" w:color="auto"/>
              <w:left w:val="single" w:sz="4" w:space="0" w:color="auto"/>
              <w:bottom w:val="single" w:sz="4" w:space="0" w:color="auto"/>
              <w:right w:val="single" w:sz="4" w:space="0" w:color="auto"/>
            </w:tcBorders>
            <w:vAlign w:val="center"/>
            <w:hideMark/>
          </w:tcPr>
          <w:p w14:paraId="0F4DCA46" w14:textId="77777777" w:rsidR="0090622E" w:rsidRPr="00EC0265" w:rsidRDefault="00EC0265" w:rsidP="00EC0265">
            <w:pPr>
              <w:ind w:left="0" w:hanging="2"/>
              <w:jc w:val="center"/>
              <w:rPr>
                <w:rFonts w:ascii="Open Sans" w:hAnsi="Open Sans"/>
                <w:lang w:val="en-US"/>
              </w:rPr>
            </w:pPr>
            <w:r>
              <w:rPr>
                <w:rFonts w:ascii="Open Sans" w:hAnsi="Open Sans"/>
                <w:lang w:val="en-US"/>
              </w:rPr>
              <w:t>1.000</w:t>
            </w:r>
          </w:p>
        </w:tc>
        <w:tc>
          <w:tcPr>
            <w:tcW w:w="1558" w:type="dxa"/>
            <w:tcBorders>
              <w:top w:val="single" w:sz="4" w:space="0" w:color="auto"/>
              <w:left w:val="single" w:sz="4" w:space="0" w:color="auto"/>
              <w:bottom w:val="single" w:sz="4" w:space="0" w:color="auto"/>
              <w:right w:val="single" w:sz="4" w:space="0" w:color="auto"/>
            </w:tcBorders>
            <w:vAlign w:val="center"/>
          </w:tcPr>
          <w:p w14:paraId="3655ABDC" w14:textId="77777777" w:rsidR="0090622E" w:rsidRPr="006777B4" w:rsidRDefault="0090622E" w:rsidP="004E57F3">
            <w:pPr>
              <w:ind w:left="0" w:hanging="2"/>
              <w:jc w:val="center"/>
              <w:rPr>
                <w:rFonts w:ascii="Open Sans" w:hAnsi="Open Sans"/>
              </w:rPr>
            </w:pPr>
          </w:p>
        </w:tc>
        <w:tc>
          <w:tcPr>
            <w:tcW w:w="849" w:type="dxa"/>
            <w:tcBorders>
              <w:top w:val="single" w:sz="4" w:space="0" w:color="auto"/>
              <w:left w:val="single" w:sz="4" w:space="0" w:color="auto"/>
              <w:bottom w:val="single" w:sz="4" w:space="0" w:color="auto"/>
              <w:right w:val="single" w:sz="4" w:space="0" w:color="auto"/>
            </w:tcBorders>
            <w:vAlign w:val="center"/>
          </w:tcPr>
          <w:p w14:paraId="0FAEEBE5" w14:textId="77777777" w:rsidR="0090622E" w:rsidRPr="006777B4" w:rsidRDefault="0090622E" w:rsidP="004E57F3">
            <w:pPr>
              <w:ind w:left="0" w:hanging="2"/>
              <w:jc w:val="center"/>
              <w:rPr>
                <w:rFonts w:ascii="Open Sans" w:hAnsi="Open Sans"/>
              </w:rPr>
            </w:pPr>
          </w:p>
        </w:tc>
        <w:tc>
          <w:tcPr>
            <w:tcW w:w="850" w:type="dxa"/>
            <w:tcBorders>
              <w:top w:val="single" w:sz="4" w:space="0" w:color="auto"/>
              <w:left w:val="single" w:sz="4" w:space="0" w:color="auto"/>
              <w:bottom w:val="single" w:sz="4" w:space="0" w:color="auto"/>
              <w:right w:val="single" w:sz="4" w:space="0" w:color="auto"/>
            </w:tcBorders>
            <w:vAlign w:val="center"/>
          </w:tcPr>
          <w:p w14:paraId="449C62EB" w14:textId="77777777" w:rsidR="0090622E" w:rsidRPr="006777B4" w:rsidRDefault="0090622E" w:rsidP="004E57F3">
            <w:pPr>
              <w:ind w:left="0" w:hanging="2"/>
              <w:jc w:val="center"/>
              <w:rPr>
                <w:rFonts w:ascii="Open Sans" w:hAnsi="Open Sans"/>
              </w:rPr>
            </w:pPr>
          </w:p>
        </w:tc>
        <w:tc>
          <w:tcPr>
            <w:tcW w:w="805" w:type="dxa"/>
            <w:tcBorders>
              <w:top w:val="single" w:sz="4" w:space="0" w:color="auto"/>
              <w:left w:val="single" w:sz="4" w:space="0" w:color="auto"/>
              <w:bottom w:val="single" w:sz="4" w:space="0" w:color="auto"/>
              <w:right w:val="single" w:sz="4" w:space="0" w:color="auto"/>
            </w:tcBorders>
            <w:vAlign w:val="center"/>
          </w:tcPr>
          <w:p w14:paraId="3E8BAA16" w14:textId="77777777" w:rsidR="0090622E" w:rsidRPr="006777B4" w:rsidRDefault="0090622E" w:rsidP="004E57F3">
            <w:pPr>
              <w:ind w:left="0" w:hanging="2"/>
              <w:jc w:val="center"/>
              <w:rPr>
                <w:rFonts w:ascii="Open Sans" w:hAnsi="Open Sans"/>
              </w:rPr>
            </w:pPr>
          </w:p>
        </w:tc>
      </w:tr>
      <w:tr w:rsidR="0090622E" w:rsidRPr="006777B4" w14:paraId="55EA02E9" w14:textId="77777777" w:rsidTr="00EC51F4">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640EA3E9" w14:textId="77777777" w:rsidR="0090622E" w:rsidRPr="00EC0265" w:rsidRDefault="00EC0265" w:rsidP="004E57F3">
            <w:pPr>
              <w:ind w:left="0" w:hanging="2"/>
              <w:jc w:val="center"/>
              <w:rPr>
                <w:rFonts w:ascii="Open Sans" w:hAnsi="Open Sans"/>
                <w:lang w:val="en-US"/>
              </w:rPr>
            </w:pPr>
            <w:r>
              <w:rPr>
                <w:rFonts w:ascii="Open Sans" w:hAnsi="Open Sans"/>
                <w:lang w:val="en-US"/>
              </w:rPr>
              <w:t>ROA</w:t>
            </w:r>
          </w:p>
        </w:tc>
        <w:tc>
          <w:tcPr>
            <w:tcW w:w="823" w:type="dxa"/>
            <w:tcBorders>
              <w:top w:val="single" w:sz="4" w:space="0" w:color="auto"/>
              <w:left w:val="single" w:sz="4" w:space="0" w:color="auto"/>
              <w:bottom w:val="single" w:sz="4" w:space="0" w:color="auto"/>
              <w:right w:val="single" w:sz="4" w:space="0" w:color="auto"/>
            </w:tcBorders>
            <w:vAlign w:val="center"/>
          </w:tcPr>
          <w:p w14:paraId="20B3109E" w14:textId="77777777" w:rsidR="0090622E" w:rsidRPr="006777B4" w:rsidRDefault="0090622E" w:rsidP="004E57F3">
            <w:pPr>
              <w:ind w:left="0" w:hanging="2"/>
              <w:jc w:val="center"/>
              <w:rPr>
                <w:rFonts w:ascii="Open Sans" w:hAnsi="Open Sans"/>
              </w:rPr>
            </w:pPr>
          </w:p>
        </w:tc>
        <w:tc>
          <w:tcPr>
            <w:tcW w:w="1444" w:type="dxa"/>
            <w:tcBorders>
              <w:top w:val="single" w:sz="4" w:space="0" w:color="auto"/>
              <w:left w:val="single" w:sz="4" w:space="0" w:color="auto"/>
              <w:bottom w:val="single" w:sz="4" w:space="0" w:color="auto"/>
              <w:right w:val="single" w:sz="4" w:space="0" w:color="auto"/>
            </w:tcBorders>
            <w:vAlign w:val="center"/>
          </w:tcPr>
          <w:p w14:paraId="10913141" w14:textId="77777777" w:rsidR="0090622E" w:rsidRPr="006777B4" w:rsidRDefault="0090622E" w:rsidP="004E57F3">
            <w:pPr>
              <w:ind w:left="0" w:hanging="2"/>
              <w:jc w:val="center"/>
              <w:rPr>
                <w:rFonts w:ascii="Open Sans" w:hAnsi="Open Sans"/>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2D1B3267" w14:textId="77777777" w:rsidR="0090622E" w:rsidRPr="006777B4" w:rsidRDefault="00EC0265" w:rsidP="004E57F3">
            <w:pPr>
              <w:ind w:left="0" w:hanging="2"/>
              <w:jc w:val="center"/>
              <w:rPr>
                <w:rFonts w:ascii="Open Sans" w:hAnsi="Open Sans"/>
              </w:rPr>
            </w:pPr>
            <w:r>
              <w:rPr>
                <w:rFonts w:ascii="Open Sans" w:hAnsi="Open Sans"/>
              </w:rPr>
              <w:t>1.000</w:t>
            </w:r>
          </w:p>
        </w:tc>
        <w:tc>
          <w:tcPr>
            <w:tcW w:w="849" w:type="dxa"/>
            <w:tcBorders>
              <w:top w:val="single" w:sz="4" w:space="0" w:color="auto"/>
              <w:left w:val="single" w:sz="4" w:space="0" w:color="auto"/>
              <w:bottom w:val="single" w:sz="4" w:space="0" w:color="auto"/>
              <w:right w:val="single" w:sz="4" w:space="0" w:color="auto"/>
            </w:tcBorders>
            <w:vAlign w:val="center"/>
          </w:tcPr>
          <w:p w14:paraId="07695E35" w14:textId="77777777" w:rsidR="0090622E" w:rsidRPr="006777B4" w:rsidRDefault="0090622E" w:rsidP="004E57F3">
            <w:pPr>
              <w:ind w:left="0" w:hanging="2"/>
              <w:jc w:val="center"/>
              <w:rPr>
                <w:rFonts w:ascii="Open Sans" w:hAnsi="Open Sans"/>
              </w:rPr>
            </w:pPr>
          </w:p>
        </w:tc>
        <w:tc>
          <w:tcPr>
            <w:tcW w:w="850" w:type="dxa"/>
            <w:tcBorders>
              <w:top w:val="single" w:sz="4" w:space="0" w:color="auto"/>
              <w:left w:val="single" w:sz="4" w:space="0" w:color="auto"/>
              <w:bottom w:val="single" w:sz="4" w:space="0" w:color="auto"/>
              <w:right w:val="single" w:sz="4" w:space="0" w:color="auto"/>
            </w:tcBorders>
            <w:vAlign w:val="center"/>
          </w:tcPr>
          <w:p w14:paraId="704FC0FD" w14:textId="77777777" w:rsidR="0090622E" w:rsidRPr="006777B4" w:rsidRDefault="0090622E" w:rsidP="004E57F3">
            <w:pPr>
              <w:ind w:left="0" w:hanging="2"/>
              <w:jc w:val="center"/>
              <w:rPr>
                <w:rFonts w:ascii="Open Sans" w:hAnsi="Open Sans"/>
              </w:rPr>
            </w:pPr>
          </w:p>
        </w:tc>
        <w:tc>
          <w:tcPr>
            <w:tcW w:w="805" w:type="dxa"/>
            <w:tcBorders>
              <w:top w:val="single" w:sz="4" w:space="0" w:color="auto"/>
              <w:left w:val="single" w:sz="4" w:space="0" w:color="auto"/>
              <w:bottom w:val="single" w:sz="4" w:space="0" w:color="auto"/>
              <w:right w:val="single" w:sz="4" w:space="0" w:color="auto"/>
            </w:tcBorders>
            <w:vAlign w:val="center"/>
          </w:tcPr>
          <w:p w14:paraId="3EAB8A6B" w14:textId="77777777" w:rsidR="0090622E" w:rsidRPr="006777B4" w:rsidRDefault="0090622E" w:rsidP="004E57F3">
            <w:pPr>
              <w:ind w:left="0" w:hanging="2"/>
              <w:jc w:val="center"/>
              <w:rPr>
                <w:rFonts w:ascii="Open Sans" w:hAnsi="Open Sans"/>
              </w:rPr>
            </w:pPr>
          </w:p>
        </w:tc>
      </w:tr>
      <w:tr w:rsidR="0090622E" w:rsidRPr="006777B4" w14:paraId="520E0FF0" w14:textId="77777777" w:rsidTr="00EC51F4">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0D7E8EE5" w14:textId="77777777" w:rsidR="0090622E" w:rsidRPr="006777B4" w:rsidRDefault="00EC0265" w:rsidP="004E57F3">
            <w:pPr>
              <w:ind w:left="0" w:hanging="2"/>
              <w:jc w:val="center"/>
              <w:rPr>
                <w:rFonts w:ascii="Open Sans" w:hAnsi="Open Sans"/>
              </w:rPr>
            </w:pPr>
            <w:r>
              <w:rPr>
                <w:rFonts w:ascii="Open Sans" w:hAnsi="Open Sans"/>
                <w:lang w:val="en-US"/>
              </w:rPr>
              <w:t>ROA</w:t>
            </w:r>
            <w:r w:rsidR="0090622E" w:rsidRPr="006777B4">
              <w:rPr>
                <w:rFonts w:ascii="Open Sans" w:hAnsi="Open Sans"/>
              </w:rPr>
              <w:t>*CSR</w:t>
            </w:r>
          </w:p>
        </w:tc>
        <w:tc>
          <w:tcPr>
            <w:tcW w:w="823" w:type="dxa"/>
            <w:tcBorders>
              <w:top w:val="single" w:sz="4" w:space="0" w:color="auto"/>
              <w:left w:val="single" w:sz="4" w:space="0" w:color="auto"/>
              <w:bottom w:val="single" w:sz="4" w:space="0" w:color="auto"/>
              <w:right w:val="single" w:sz="4" w:space="0" w:color="auto"/>
            </w:tcBorders>
            <w:vAlign w:val="center"/>
          </w:tcPr>
          <w:p w14:paraId="4B3CB065" w14:textId="77777777" w:rsidR="0090622E" w:rsidRPr="006777B4" w:rsidRDefault="0090622E" w:rsidP="004E57F3">
            <w:pPr>
              <w:ind w:left="0" w:hanging="2"/>
              <w:jc w:val="center"/>
              <w:rPr>
                <w:rFonts w:ascii="Open Sans" w:hAnsi="Open Sans"/>
              </w:rPr>
            </w:pPr>
          </w:p>
        </w:tc>
        <w:tc>
          <w:tcPr>
            <w:tcW w:w="1444" w:type="dxa"/>
            <w:tcBorders>
              <w:top w:val="single" w:sz="4" w:space="0" w:color="auto"/>
              <w:left w:val="single" w:sz="4" w:space="0" w:color="auto"/>
              <w:bottom w:val="single" w:sz="4" w:space="0" w:color="auto"/>
              <w:right w:val="single" w:sz="4" w:space="0" w:color="auto"/>
            </w:tcBorders>
            <w:vAlign w:val="center"/>
          </w:tcPr>
          <w:p w14:paraId="7247FE49" w14:textId="77777777" w:rsidR="0090622E" w:rsidRPr="006777B4" w:rsidRDefault="0090622E" w:rsidP="004E57F3">
            <w:pPr>
              <w:ind w:left="0" w:hanging="2"/>
              <w:jc w:val="center"/>
              <w:rPr>
                <w:rFonts w:ascii="Open Sans" w:hAnsi="Open Sans"/>
              </w:rPr>
            </w:pPr>
          </w:p>
        </w:tc>
        <w:tc>
          <w:tcPr>
            <w:tcW w:w="1558" w:type="dxa"/>
            <w:tcBorders>
              <w:top w:val="single" w:sz="4" w:space="0" w:color="auto"/>
              <w:left w:val="single" w:sz="4" w:space="0" w:color="auto"/>
              <w:bottom w:val="single" w:sz="4" w:space="0" w:color="auto"/>
              <w:right w:val="single" w:sz="4" w:space="0" w:color="auto"/>
            </w:tcBorders>
            <w:vAlign w:val="center"/>
          </w:tcPr>
          <w:p w14:paraId="4EF3306D" w14:textId="77777777" w:rsidR="0090622E" w:rsidRPr="006777B4" w:rsidRDefault="0090622E" w:rsidP="004E57F3">
            <w:pPr>
              <w:ind w:left="0" w:hanging="2"/>
              <w:jc w:val="center"/>
              <w:rPr>
                <w:rFonts w:ascii="Open Sans" w:hAnsi="Open Sans"/>
              </w:rPr>
            </w:pPr>
          </w:p>
        </w:tc>
        <w:tc>
          <w:tcPr>
            <w:tcW w:w="849" w:type="dxa"/>
            <w:tcBorders>
              <w:top w:val="single" w:sz="4" w:space="0" w:color="auto"/>
              <w:left w:val="single" w:sz="4" w:space="0" w:color="auto"/>
              <w:bottom w:val="single" w:sz="4" w:space="0" w:color="auto"/>
              <w:right w:val="single" w:sz="4" w:space="0" w:color="auto"/>
            </w:tcBorders>
            <w:vAlign w:val="center"/>
            <w:hideMark/>
          </w:tcPr>
          <w:p w14:paraId="6295B3D1" w14:textId="77777777" w:rsidR="0090622E" w:rsidRPr="006777B4" w:rsidRDefault="00EC0265" w:rsidP="004E57F3">
            <w:pPr>
              <w:ind w:left="0" w:hanging="2"/>
              <w:jc w:val="center"/>
              <w:rPr>
                <w:rFonts w:ascii="Open Sans" w:hAnsi="Open Sans"/>
              </w:rPr>
            </w:pPr>
            <w:r>
              <w:rPr>
                <w:rFonts w:ascii="Open Sans" w:hAnsi="Open Sans"/>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24203A2F" w14:textId="77777777" w:rsidR="0090622E" w:rsidRPr="006777B4" w:rsidRDefault="0090622E" w:rsidP="004E57F3">
            <w:pPr>
              <w:ind w:left="0" w:hanging="2"/>
              <w:jc w:val="center"/>
              <w:rPr>
                <w:rFonts w:ascii="Open Sans" w:hAnsi="Open Sans"/>
              </w:rPr>
            </w:pPr>
          </w:p>
        </w:tc>
        <w:tc>
          <w:tcPr>
            <w:tcW w:w="805" w:type="dxa"/>
            <w:tcBorders>
              <w:top w:val="single" w:sz="4" w:space="0" w:color="auto"/>
              <w:left w:val="single" w:sz="4" w:space="0" w:color="auto"/>
              <w:bottom w:val="single" w:sz="4" w:space="0" w:color="auto"/>
              <w:right w:val="single" w:sz="4" w:space="0" w:color="auto"/>
            </w:tcBorders>
            <w:vAlign w:val="center"/>
          </w:tcPr>
          <w:p w14:paraId="0364EE13" w14:textId="77777777" w:rsidR="0090622E" w:rsidRPr="006777B4" w:rsidRDefault="0090622E" w:rsidP="004E57F3">
            <w:pPr>
              <w:ind w:left="0" w:hanging="2"/>
              <w:jc w:val="center"/>
              <w:rPr>
                <w:rFonts w:ascii="Open Sans" w:hAnsi="Open Sans"/>
              </w:rPr>
            </w:pPr>
          </w:p>
        </w:tc>
      </w:tr>
      <w:tr w:rsidR="0090622E" w:rsidRPr="006777B4" w14:paraId="1D644C4B" w14:textId="77777777" w:rsidTr="00EC51F4">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00865D82" w14:textId="77777777" w:rsidR="0090622E" w:rsidRPr="00EC0265" w:rsidRDefault="00EC0265" w:rsidP="004E57F3">
            <w:pPr>
              <w:ind w:left="0" w:hanging="2"/>
              <w:jc w:val="center"/>
              <w:rPr>
                <w:rFonts w:ascii="Open Sans" w:hAnsi="Open Sans"/>
                <w:lang w:val="en-US"/>
              </w:rPr>
            </w:pPr>
            <w:r>
              <w:rPr>
                <w:rFonts w:ascii="Open Sans" w:hAnsi="Open Sans"/>
                <w:lang w:val="en-US"/>
              </w:rPr>
              <w:lastRenderedPageBreak/>
              <w:t>ROE</w:t>
            </w:r>
          </w:p>
        </w:tc>
        <w:tc>
          <w:tcPr>
            <w:tcW w:w="823" w:type="dxa"/>
            <w:tcBorders>
              <w:top w:val="single" w:sz="4" w:space="0" w:color="auto"/>
              <w:left w:val="single" w:sz="4" w:space="0" w:color="auto"/>
              <w:bottom w:val="single" w:sz="4" w:space="0" w:color="auto"/>
              <w:right w:val="single" w:sz="4" w:space="0" w:color="auto"/>
            </w:tcBorders>
            <w:vAlign w:val="center"/>
          </w:tcPr>
          <w:p w14:paraId="3DBDE63F" w14:textId="77777777" w:rsidR="0090622E" w:rsidRPr="006777B4" w:rsidRDefault="0090622E" w:rsidP="004E57F3">
            <w:pPr>
              <w:ind w:left="0" w:hanging="2"/>
              <w:jc w:val="center"/>
              <w:rPr>
                <w:rFonts w:ascii="Open Sans" w:hAnsi="Open Sans"/>
              </w:rPr>
            </w:pPr>
          </w:p>
        </w:tc>
        <w:tc>
          <w:tcPr>
            <w:tcW w:w="1444" w:type="dxa"/>
            <w:tcBorders>
              <w:top w:val="single" w:sz="4" w:space="0" w:color="auto"/>
              <w:left w:val="single" w:sz="4" w:space="0" w:color="auto"/>
              <w:bottom w:val="single" w:sz="4" w:space="0" w:color="auto"/>
              <w:right w:val="single" w:sz="4" w:space="0" w:color="auto"/>
            </w:tcBorders>
            <w:vAlign w:val="center"/>
          </w:tcPr>
          <w:p w14:paraId="3936C433" w14:textId="77777777" w:rsidR="0090622E" w:rsidRPr="006777B4" w:rsidRDefault="0090622E" w:rsidP="004E57F3">
            <w:pPr>
              <w:ind w:left="0" w:hanging="2"/>
              <w:jc w:val="center"/>
              <w:rPr>
                <w:rFonts w:ascii="Open Sans" w:hAnsi="Open Sans"/>
              </w:rPr>
            </w:pPr>
          </w:p>
        </w:tc>
        <w:tc>
          <w:tcPr>
            <w:tcW w:w="1558" w:type="dxa"/>
            <w:tcBorders>
              <w:top w:val="single" w:sz="4" w:space="0" w:color="auto"/>
              <w:left w:val="single" w:sz="4" w:space="0" w:color="auto"/>
              <w:bottom w:val="single" w:sz="4" w:space="0" w:color="auto"/>
              <w:right w:val="single" w:sz="4" w:space="0" w:color="auto"/>
            </w:tcBorders>
            <w:vAlign w:val="center"/>
          </w:tcPr>
          <w:p w14:paraId="05119825" w14:textId="77777777" w:rsidR="0090622E" w:rsidRPr="006777B4" w:rsidRDefault="0090622E" w:rsidP="004E57F3">
            <w:pPr>
              <w:ind w:left="0" w:hanging="2"/>
              <w:jc w:val="center"/>
              <w:rPr>
                <w:rFonts w:ascii="Open Sans" w:hAnsi="Open Sans"/>
              </w:rPr>
            </w:pPr>
          </w:p>
        </w:tc>
        <w:tc>
          <w:tcPr>
            <w:tcW w:w="849" w:type="dxa"/>
            <w:tcBorders>
              <w:top w:val="single" w:sz="4" w:space="0" w:color="auto"/>
              <w:left w:val="single" w:sz="4" w:space="0" w:color="auto"/>
              <w:bottom w:val="single" w:sz="4" w:space="0" w:color="auto"/>
              <w:right w:val="single" w:sz="4" w:space="0" w:color="auto"/>
            </w:tcBorders>
            <w:vAlign w:val="center"/>
          </w:tcPr>
          <w:p w14:paraId="0F067F16" w14:textId="77777777" w:rsidR="0090622E" w:rsidRPr="006777B4" w:rsidRDefault="0090622E" w:rsidP="004E57F3">
            <w:pPr>
              <w:ind w:left="0" w:hanging="2"/>
              <w:jc w:val="center"/>
              <w:rPr>
                <w:rFonts w:ascii="Open Sans" w:hAnsi="Open San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74638F3" w14:textId="77777777" w:rsidR="0090622E" w:rsidRPr="006777B4" w:rsidRDefault="00EC0265" w:rsidP="004E57F3">
            <w:pPr>
              <w:ind w:left="0" w:hanging="2"/>
              <w:jc w:val="center"/>
              <w:rPr>
                <w:rFonts w:ascii="Open Sans" w:hAnsi="Open Sans"/>
              </w:rPr>
            </w:pPr>
            <w:r>
              <w:rPr>
                <w:rFonts w:ascii="Open Sans" w:hAnsi="Open Sans"/>
              </w:rPr>
              <w:t>1.000</w:t>
            </w:r>
          </w:p>
        </w:tc>
        <w:tc>
          <w:tcPr>
            <w:tcW w:w="805" w:type="dxa"/>
            <w:tcBorders>
              <w:top w:val="single" w:sz="4" w:space="0" w:color="auto"/>
              <w:left w:val="single" w:sz="4" w:space="0" w:color="auto"/>
              <w:bottom w:val="single" w:sz="4" w:space="0" w:color="auto"/>
              <w:right w:val="single" w:sz="4" w:space="0" w:color="auto"/>
            </w:tcBorders>
            <w:vAlign w:val="center"/>
          </w:tcPr>
          <w:p w14:paraId="2C038078" w14:textId="77777777" w:rsidR="0090622E" w:rsidRPr="006777B4" w:rsidRDefault="0090622E" w:rsidP="004E57F3">
            <w:pPr>
              <w:ind w:left="0" w:hanging="2"/>
              <w:jc w:val="center"/>
              <w:rPr>
                <w:rFonts w:ascii="Open Sans" w:hAnsi="Open Sans"/>
              </w:rPr>
            </w:pPr>
          </w:p>
        </w:tc>
      </w:tr>
      <w:tr w:rsidR="0090622E" w:rsidRPr="006777B4" w14:paraId="1A8BBAE7" w14:textId="77777777" w:rsidTr="00EC51F4">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2BCFA4C6" w14:textId="77777777" w:rsidR="0090622E" w:rsidRPr="006777B4" w:rsidRDefault="0090622E" w:rsidP="004E57F3">
            <w:pPr>
              <w:ind w:left="0" w:hanging="2"/>
              <w:jc w:val="center"/>
              <w:rPr>
                <w:rFonts w:ascii="Open Sans" w:hAnsi="Open Sans"/>
              </w:rPr>
            </w:pPr>
            <w:r w:rsidRPr="006777B4">
              <w:rPr>
                <w:rFonts w:ascii="Open Sans" w:hAnsi="Open Sans"/>
              </w:rPr>
              <w:t>ROE*CSR</w:t>
            </w:r>
          </w:p>
        </w:tc>
        <w:tc>
          <w:tcPr>
            <w:tcW w:w="823" w:type="dxa"/>
            <w:tcBorders>
              <w:top w:val="single" w:sz="4" w:space="0" w:color="auto"/>
              <w:left w:val="single" w:sz="4" w:space="0" w:color="auto"/>
              <w:bottom w:val="single" w:sz="4" w:space="0" w:color="auto"/>
              <w:right w:val="single" w:sz="4" w:space="0" w:color="auto"/>
            </w:tcBorders>
            <w:vAlign w:val="center"/>
          </w:tcPr>
          <w:p w14:paraId="57F11D5D" w14:textId="77777777" w:rsidR="0090622E" w:rsidRPr="006777B4" w:rsidRDefault="0090622E" w:rsidP="004E57F3">
            <w:pPr>
              <w:ind w:left="0" w:hanging="2"/>
              <w:jc w:val="center"/>
              <w:rPr>
                <w:rFonts w:ascii="Open Sans" w:hAnsi="Open Sans"/>
              </w:rPr>
            </w:pPr>
          </w:p>
        </w:tc>
        <w:tc>
          <w:tcPr>
            <w:tcW w:w="1444" w:type="dxa"/>
            <w:tcBorders>
              <w:top w:val="single" w:sz="4" w:space="0" w:color="auto"/>
              <w:left w:val="single" w:sz="4" w:space="0" w:color="auto"/>
              <w:bottom w:val="single" w:sz="4" w:space="0" w:color="auto"/>
              <w:right w:val="single" w:sz="4" w:space="0" w:color="auto"/>
            </w:tcBorders>
            <w:vAlign w:val="center"/>
          </w:tcPr>
          <w:p w14:paraId="58006608" w14:textId="77777777" w:rsidR="0090622E" w:rsidRPr="006777B4" w:rsidRDefault="0090622E" w:rsidP="004E57F3">
            <w:pPr>
              <w:ind w:left="0" w:hanging="2"/>
              <w:jc w:val="center"/>
              <w:rPr>
                <w:rFonts w:ascii="Open Sans" w:hAnsi="Open Sans"/>
              </w:rPr>
            </w:pPr>
          </w:p>
        </w:tc>
        <w:tc>
          <w:tcPr>
            <w:tcW w:w="1558" w:type="dxa"/>
            <w:tcBorders>
              <w:top w:val="single" w:sz="4" w:space="0" w:color="auto"/>
              <w:left w:val="single" w:sz="4" w:space="0" w:color="auto"/>
              <w:bottom w:val="single" w:sz="4" w:space="0" w:color="auto"/>
              <w:right w:val="single" w:sz="4" w:space="0" w:color="auto"/>
            </w:tcBorders>
            <w:vAlign w:val="center"/>
          </w:tcPr>
          <w:p w14:paraId="2257144E" w14:textId="77777777" w:rsidR="0090622E" w:rsidRPr="006777B4" w:rsidRDefault="0090622E" w:rsidP="004E57F3">
            <w:pPr>
              <w:ind w:left="0" w:hanging="2"/>
              <w:jc w:val="center"/>
              <w:rPr>
                <w:rFonts w:ascii="Open Sans" w:hAnsi="Open Sans"/>
              </w:rPr>
            </w:pPr>
          </w:p>
        </w:tc>
        <w:tc>
          <w:tcPr>
            <w:tcW w:w="849" w:type="dxa"/>
            <w:tcBorders>
              <w:top w:val="single" w:sz="4" w:space="0" w:color="auto"/>
              <w:left w:val="single" w:sz="4" w:space="0" w:color="auto"/>
              <w:bottom w:val="single" w:sz="4" w:space="0" w:color="auto"/>
              <w:right w:val="single" w:sz="4" w:space="0" w:color="auto"/>
            </w:tcBorders>
            <w:vAlign w:val="center"/>
          </w:tcPr>
          <w:p w14:paraId="01B2AE2F" w14:textId="77777777" w:rsidR="0090622E" w:rsidRPr="006777B4" w:rsidRDefault="0090622E" w:rsidP="004E57F3">
            <w:pPr>
              <w:ind w:left="0" w:hanging="2"/>
              <w:jc w:val="center"/>
              <w:rPr>
                <w:rFonts w:ascii="Open Sans" w:hAnsi="Open Sans"/>
              </w:rPr>
            </w:pPr>
          </w:p>
        </w:tc>
        <w:tc>
          <w:tcPr>
            <w:tcW w:w="850" w:type="dxa"/>
            <w:tcBorders>
              <w:top w:val="single" w:sz="4" w:space="0" w:color="auto"/>
              <w:left w:val="single" w:sz="4" w:space="0" w:color="auto"/>
              <w:bottom w:val="single" w:sz="4" w:space="0" w:color="auto"/>
              <w:right w:val="single" w:sz="4" w:space="0" w:color="auto"/>
            </w:tcBorders>
            <w:vAlign w:val="center"/>
          </w:tcPr>
          <w:p w14:paraId="3ED0FD3E" w14:textId="77777777" w:rsidR="0090622E" w:rsidRPr="006777B4" w:rsidRDefault="0090622E" w:rsidP="004E57F3">
            <w:pPr>
              <w:ind w:left="0" w:hanging="2"/>
              <w:jc w:val="center"/>
              <w:rPr>
                <w:rFonts w:ascii="Open Sans" w:hAnsi="Open Sans"/>
              </w:rPr>
            </w:pPr>
          </w:p>
        </w:tc>
        <w:tc>
          <w:tcPr>
            <w:tcW w:w="805" w:type="dxa"/>
            <w:tcBorders>
              <w:top w:val="single" w:sz="4" w:space="0" w:color="auto"/>
              <w:left w:val="single" w:sz="4" w:space="0" w:color="auto"/>
              <w:bottom w:val="single" w:sz="4" w:space="0" w:color="auto"/>
              <w:right w:val="single" w:sz="4" w:space="0" w:color="auto"/>
            </w:tcBorders>
            <w:vAlign w:val="center"/>
            <w:hideMark/>
          </w:tcPr>
          <w:p w14:paraId="729007E4" w14:textId="77777777" w:rsidR="0090622E" w:rsidRPr="006777B4" w:rsidRDefault="00EC0265" w:rsidP="004E57F3">
            <w:pPr>
              <w:ind w:left="0" w:hanging="2"/>
              <w:jc w:val="center"/>
              <w:rPr>
                <w:rFonts w:ascii="Open Sans" w:hAnsi="Open Sans"/>
              </w:rPr>
            </w:pPr>
            <w:r>
              <w:rPr>
                <w:rFonts w:ascii="Open Sans" w:hAnsi="Open Sans"/>
              </w:rPr>
              <w:t>1.000</w:t>
            </w:r>
          </w:p>
        </w:tc>
      </w:tr>
    </w:tbl>
    <w:p w14:paraId="7D8DFA2B" w14:textId="77777777" w:rsidR="008538E8" w:rsidRPr="006777B4" w:rsidRDefault="001A5EDD" w:rsidP="008538E8">
      <w:pPr>
        <w:jc w:val="center"/>
        <w:rPr>
          <w:rFonts w:ascii="Open Sans" w:hAnsi="Open Sans"/>
        </w:rPr>
      </w:pPr>
      <w:r w:rsidRPr="006777B4">
        <w:rPr>
          <w:rFonts w:ascii="Open Sans" w:hAnsi="Open Sans"/>
        </w:rPr>
        <w:t>Source: Data processed with Smartpls (2024)</w:t>
      </w:r>
    </w:p>
    <w:p w14:paraId="4AC3440C" w14:textId="77777777" w:rsidR="008538E8" w:rsidRPr="006777B4" w:rsidRDefault="002F3AF8" w:rsidP="008538E8">
      <w:pPr>
        <w:ind w:firstLine="720"/>
        <w:jc w:val="both"/>
        <w:rPr>
          <w:rFonts w:ascii="Open Sans" w:hAnsi="Open Sans"/>
        </w:rPr>
      </w:pPr>
      <w:r>
        <w:rPr>
          <w:rFonts w:ascii="Open Sans" w:hAnsi="Open Sans"/>
          <w:lang w:val="en-US"/>
        </w:rPr>
        <w:t>Table 2’s finding demonstrate that every variable in the research has an outer loading value greater than 0.70. this suggest that every indication is reliable and worthy of more examination. A more thorough comprehension of convergent validity may be obtained by looking at the AVE data.</w:t>
      </w:r>
    </w:p>
    <w:p w14:paraId="40166716" w14:textId="77777777" w:rsidR="0090622E" w:rsidRPr="006777B4" w:rsidRDefault="00A16D69" w:rsidP="00A16D69">
      <w:pPr>
        <w:jc w:val="center"/>
        <w:rPr>
          <w:rFonts w:ascii="Open Sans" w:hAnsi="Open Sans"/>
          <w:b/>
        </w:rPr>
      </w:pPr>
      <w:r w:rsidRPr="006777B4">
        <w:rPr>
          <w:rFonts w:ascii="Open Sans" w:hAnsi="Open Sans"/>
          <w:b/>
        </w:rPr>
        <w:t>Table 3. Average Variance Extracted (AVE) Results</w:t>
      </w:r>
    </w:p>
    <w:tbl>
      <w:tblPr>
        <w:tblStyle w:val="TableGrid"/>
        <w:tblW w:w="0" w:type="auto"/>
        <w:jc w:val="center"/>
        <w:tblInd w:w="0" w:type="dxa"/>
        <w:tblLook w:val="04A0" w:firstRow="1" w:lastRow="0" w:firstColumn="1" w:lastColumn="0" w:noHBand="0" w:noVBand="1"/>
      </w:tblPr>
      <w:tblGrid>
        <w:gridCol w:w="2835"/>
        <w:gridCol w:w="1276"/>
        <w:gridCol w:w="1276"/>
      </w:tblGrid>
      <w:tr w:rsidR="0090622E" w:rsidRPr="006777B4" w14:paraId="0CCF2ACE" w14:textId="77777777" w:rsidTr="0055724C">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67D91F5" w14:textId="77777777" w:rsidR="0090622E" w:rsidRPr="006777B4" w:rsidRDefault="0090622E" w:rsidP="0055724C">
            <w:pPr>
              <w:ind w:left="0" w:hanging="2"/>
              <w:jc w:val="center"/>
              <w:rPr>
                <w:rFonts w:ascii="Open Sans" w:hAnsi="Open Sans"/>
              </w:rPr>
            </w:pPr>
            <w:r w:rsidRPr="006777B4">
              <w:rPr>
                <w:rFonts w:ascii="Open Sans" w:hAnsi="Open Sans"/>
              </w:rPr>
              <w:t>Variabel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552B1D" w14:textId="454A454F" w:rsidR="0090622E" w:rsidRPr="006777B4" w:rsidRDefault="009E0527" w:rsidP="0055724C">
            <w:pPr>
              <w:ind w:left="0" w:hanging="2"/>
              <w:jc w:val="center"/>
              <w:rPr>
                <w:rFonts w:ascii="Open Sans" w:hAnsi="Open Sans"/>
              </w:rPr>
            </w:pPr>
            <w:r>
              <w:rPr>
                <w:rFonts w:ascii="Open Sans" w:hAnsi="Open Sans"/>
              </w:rPr>
              <w:t xml:space="preserve"> </w:t>
            </w:r>
            <w:r w:rsidR="0090622E" w:rsidRPr="006777B4">
              <w:rPr>
                <w:rFonts w:ascii="Open Sans" w:hAnsi="Open Sans"/>
              </w:rPr>
              <w:t>AVE</w:t>
            </w:r>
            <w:r>
              <w:rPr>
                <w:rFonts w:ascii="Open Sans" w:hAnsi="Open Sans"/>
              </w:rPr>
              <w:t xml:space="preserve"> value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63B97A" w14:textId="4718A5CD" w:rsidR="0090622E" w:rsidRPr="006777B4" w:rsidRDefault="009E0527" w:rsidP="0055724C">
            <w:pPr>
              <w:ind w:left="0" w:hanging="2"/>
              <w:jc w:val="center"/>
              <w:rPr>
                <w:rFonts w:ascii="Open Sans" w:hAnsi="Open Sans"/>
              </w:rPr>
            </w:pPr>
            <w:r>
              <w:rPr>
                <w:rFonts w:ascii="Open Sans" w:hAnsi="Open Sans"/>
              </w:rPr>
              <w:t>Description</w:t>
            </w:r>
          </w:p>
        </w:tc>
      </w:tr>
      <w:tr w:rsidR="0090622E" w:rsidRPr="006777B4" w14:paraId="2660A083" w14:textId="77777777" w:rsidTr="00837D5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2A9DE22" w14:textId="77777777" w:rsidR="0090622E" w:rsidRPr="006777B4" w:rsidRDefault="0090622E" w:rsidP="0055724C">
            <w:pPr>
              <w:ind w:left="0" w:hanging="2"/>
              <w:jc w:val="center"/>
              <w:rPr>
                <w:rFonts w:ascii="Open Sans" w:hAnsi="Open Sans"/>
              </w:rPr>
            </w:pPr>
            <w:r w:rsidRPr="006777B4">
              <w:rPr>
                <w:rFonts w:ascii="Open Sans" w:hAnsi="Open Sans"/>
              </w:rPr>
              <w:t>CSR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BB702B" w14:textId="77777777" w:rsidR="00F72BF9" w:rsidRPr="00F72BF9" w:rsidRDefault="00F72BF9" w:rsidP="00F72BF9">
            <w:pPr>
              <w:ind w:left="0" w:hanging="2"/>
              <w:jc w:val="center"/>
              <w:rPr>
                <w:rFonts w:ascii="Open Sans" w:hAnsi="Open Sans"/>
                <w:lang w:val="en-US"/>
              </w:rPr>
            </w:pPr>
            <w:r>
              <w:rPr>
                <w:rFonts w:ascii="Open Sans" w:hAnsi="Open Sans"/>
                <w:lang w:val="en-US"/>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36CB0A8D" w14:textId="77777777" w:rsidR="0090622E" w:rsidRPr="00F72BF9" w:rsidRDefault="00837D53" w:rsidP="0055724C">
            <w:pPr>
              <w:ind w:left="0" w:hanging="2"/>
              <w:jc w:val="center"/>
              <w:rPr>
                <w:rFonts w:ascii="Open Sans" w:hAnsi="Open Sans"/>
                <w:lang w:val="en-US"/>
              </w:rPr>
            </w:pPr>
            <w:r>
              <w:rPr>
                <w:rFonts w:ascii="Open Sans" w:hAnsi="Open Sans"/>
                <w:lang w:val="en-US"/>
              </w:rPr>
              <w:t>Valid</w:t>
            </w:r>
          </w:p>
        </w:tc>
      </w:tr>
      <w:tr w:rsidR="0090622E" w:rsidRPr="006777B4" w14:paraId="2F4CABBC" w14:textId="77777777" w:rsidTr="00837D5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63FA7A89" w14:textId="77777777" w:rsidR="0090622E" w:rsidRPr="006777B4" w:rsidRDefault="0090622E" w:rsidP="0055724C">
            <w:pPr>
              <w:ind w:left="0" w:hanging="2"/>
              <w:jc w:val="center"/>
              <w:rPr>
                <w:rFonts w:ascii="Open Sans" w:hAnsi="Open Sans"/>
              </w:rPr>
            </w:pPr>
            <w:r w:rsidRPr="006777B4">
              <w:rPr>
                <w:rFonts w:ascii="Open Sans" w:hAnsi="Open Sans"/>
              </w:rPr>
              <w:t>ROA*CSR (moderating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3BB569" w14:textId="77777777" w:rsidR="0090622E" w:rsidRPr="00F72BF9" w:rsidRDefault="00F72BF9" w:rsidP="00837D53">
            <w:pPr>
              <w:ind w:left="0" w:hanging="2"/>
              <w:jc w:val="center"/>
              <w:rPr>
                <w:rFonts w:ascii="Open Sans" w:hAnsi="Open Sans"/>
                <w:lang w:val="en-US"/>
              </w:rPr>
            </w:pPr>
            <w:r>
              <w:rPr>
                <w:rFonts w:ascii="Open Sans" w:hAnsi="Open Sans"/>
                <w:lang w:val="en-US"/>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5CAB363D" w14:textId="77777777" w:rsidR="0090622E" w:rsidRPr="00837D53" w:rsidRDefault="00837D53" w:rsidP="0055724C">
            <w:pPr>
              <w:ind w:left="0" w:hanging="2"/>
              <w:jc w:val="center"/>
              <w:rPr>
                <w:rFonts w:ascii="Open Sans" w:hAnsi="Open Sans"/>
                <w:lang w:val="en-US"/>
              </w:rPr>
            </w:pPr>
            <w:r>
              <w:rPr>
                <w:rFonts w:ascii="Open Sans" w:hAnsi="Open Sans"/>
                <w:lang w:val="en-US"/>
              </w:rPr>
              <w:t>Valid</w:t>
            </w:r>
          </w:p>
        </w:tc>
      </w:tr>
      <w:tr w:rsidR="0090622E" w:rsidRPr="006777B4" w14:paraId="00945631" w14:textId="77777777" w:rsidTr="00837D5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B652284" w14:textId="77777777" w:rsidR="0090622E" w:rsidRPr="006777B4" w:rsidRDefault="0090622E" w:rsidP="0055724C">
            <w:pPr>
              <w:ind w:left="0" w:hanging="2"/>
              <w:jc w:val="center"/>
              <w:rPr>
                <w:rFonts w:ascii="Open Sans" w:hAnsi="Open Sans"/>
              </w:rPr>
            </w:pPr>
            <w:r w:rsidRPr="006777B4">
              <w:rPr>
                <w:rFonts w:ascii="Open Sans" w:hAnsi="Open Sans"/>
              </w:rPr>
              <w:t>ROE*CSR (moderating 2)</w:t>
            </w:r>
          </w:p>
        </w:tc>
        <w:tc>
          <w:tcPr>
            <w:tcW w:w="1276" w:type="dxa"/>
            <w:tcBorders>
              <w:top w:val="single" w:sz="4" w:space="0" w:color="auto"/>
              <w:left w:val="single" w:sz="4" w:space="0" w:color="auto"/>
              <w:bottom w:val="single" w:sz="4" w:space="0" w:color="auto"/>
              <w:right w:val="single" w:sz="4" w:space="0" w:color="auto"/>
            </w:tcBorders>
            <w:vAlign w:val="center"/>
          </w:tcPr>
          <w:p w14:paraId="61E9E5E9" w14:textId="77777777" w:rsidR="0090622E" w:rsidRPr="00F72BF9" w:rsidRDefault="00F72BF9" w:rsidP="0055724C">
            <w:pPr>
              <w:ind w:left="0" w:hanging="2"/>
              <w:jc w:val="center"/>
              <w:rPr>
                <w:rFonts w:ascii="Open Sans" w:hAnsi="Open Sans"/>
                <w:lang w:val="en-US"/>
              </w:rPr>
            </w:pPr>
            <w:r>
              <w:rPr>
                <w:rFonts w:ascii="Open Sans" w:hAnsi="Open Sans"/>
                <w:lang w:val="en-US"/>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6526122E" w14:textId="77777777" w:rsidR="0090622E" w:rsidRPr="00837D53" w:rsidRDefault="00837D53" w:rsidP="0055724C">
            <w:pPr>
              <w:ind w:left="0" w:hanging="2"/>
              <w:jc w:val="center"/>
              <w:rPr>
                <w:rFonts w:ascii="Open Sans" w:hAnsi="Open Sans"/>
                <w:lang w:val="en-US"/>
              </w:rPr>
            </w:pPr>
            <w:r>
              <w:rPr>
                <w:rFonts w:ascii="Open Sans" w:hAnsi="Open Sans"/>
                <w:lang w:val="en-US"/>
              </w:rPr>
              <w:t>Valid</w:t>
            </w:r>
          </w:p>
        </w:tc>
      </w:tr>
      <w:tr w:rsidR="0090622E" w:rsidRPr="006777B4" w14:paraId="0AC52E2F" w14:textId="77777777" w:rsidTr="00837D5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55BB435B" w14:textId="77777777" w:rsidR="0090622E" w:rsidRPr="006777B4" w:rsidRDefault="0090622E" w:rsidP="0055724C">
            <w:pPr>
              <w:ind w:left="0" w:hanging="2"/>
              <w:jc w:val="center"/>
              <w:rPr>
                <w:rFonts w:ascii="Open Sans" w:hAnsi="Open Sans"/>
              </w:rPr>
            </w:pPr>
            <w:r w:rsidRPr="006777B4">
              <w:rPr>
                <w:rFonts w:ascii="Open Sans" w:hAnsi="Open Sans"/>
              </w:rPr>
              <w:t>Nilai Perusahaan</w:t>
            </w:r>
          </w:p>
        </w:tc>
        <w:tc>
          <w:tcPr>
            <w:tcW w:w="1276" w:type="dxa"/>
            <w:tcBorders>
              <w:top w:val="single" w:sz="4" w:space="0" w:color="auto"/>
              <w:left w:val="single" w:sz="4" w:space="0" w:color="auto"/>
              <w:bottom w:val="single" w:sz="4" w:space="0" w:color="auto"/>
              <w:right w:val="single" w:sz="4" w:space="0" w:color="auto"/>
            </w:tcBorders>
            <w:vAlign w:val="center"/>
          </w:tcPr>
          <w:p w14:paraId="0C13E4B0" w14:textId="77777777" w:rsidR="0090622E" w:rsidRPr="00F72BF9" w:rsidRDefault="00F72BF9" w:rsidP="0055724C">
            <w:pPr>
              <w:ind w:left="0" w:hanging="2"/>
              <w:jc w:val="center"/>
              <w:rPr>
                <w:rFonts w:ascii="Open Sans" w:hAnsi="Open Sans"/>
                <w:lang w:val="en-US"/>
              </w:rPr>
            </w:pPr>
            <w:r>
              <w:rPr>
                <w:rFonts w:ascii="Open Sans" w:hAnsi="Open Sans"/>
                <w:lang w:val="en-US"/>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7238DEB8" w14:textId="77777777" w:rsidR="0090622E" w:rsidRPr="00837D53" w:rsidRDefault="00837D53" w:rsidP="0055724C">
            <w:pPr>
              <w:ind w:left="0" w:hanging="2"/>
              <w:jc w:val="center"/>
              <w:rPr>
                <w:rFonts w:ascii="Open Sans" w:hAnsi="Open Sans"/>
                <w:lang w:val="en-US"/>
              </w:rPr>
            </w:pPr>
            <w:r>
              <w:rPr>
                <w:rFonts w:ascii="Open Sans" w:hAnsi="Open Sans"/>
                <w:lang w:val="en-US"/>
              </w:rPr>
              <w:t>Valid</w:t>
            </w:r>
          </w:p>
        </w:tc>
      </w:tr>
      <w:tr w:rsidR="0090622E" w:rsidRPr="006777B4" w14:paraId="524A5965" w14:textId="77777777" w:rsidTr="00837D5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98985EF" w14:textId="77777777" w:rsidR="0090622E" w:rsidRPr="006777B4" w:rsidRDefault="0090622E" w:rsidP="0055724C">
            <w:pPr>
              <w:ind w:left="0" w:hanging="2"/>
              <w:jc w:val="center"/>
              <w:rPr>
                <w:rFonts w:ascii="Open Sans" w:hAnsi="Open Sans"/>
              </w:rPr>
            </w:pPr>
            <w:r w:rsidRPr="006777B4">
              <w:rPr>
                <w:rFonts w:ascii="Open Sans" w:hAnsi="Open Sans"/>
              </w:rPr>
              <w:t>ROA</w:t>
            </w:r>
          </w:p>
        </w:tc>
        <w:tc>
          <w:tcPr>
            <w:tcW w:w="1276" w:type="dxa"/>
            <w:tcBorders>
              <w:top w:val="single" w:sz="4" w:space="0" w:color="auto"/>
              <w:left w:val="single" w:sz="4" w:space="0" w:color="auto"/>
              <w:bottom w:val="single" w:sz="4" w:space="0" w:color="auto"/>
              <w:right w:val="single" w:sz="4" w:space="0" w:color="auto"/>
            </w:tcBorders>
            <w:vAlign w:val="center"/>
          </w:tcPr>
          <w:p w14:paraId="3BE3F8E4" w14:textId="77777777" w:rsidR="0090622E" w:rsidRPr="00F72BF9" w:rsidRDefault="00F72BF9" w:rsidP="0055724C">
            <w:pPr>
              <w:ind w:left="0" w:hanging="2"/>
              <w:jc w:val="center"/>
              <w:rPr>
                <w:rFonts w:ascii="Open Sans" w:hAnsi="Open Sans"/>
                <w:lang w:val="en-US"/>
              </w:rPr>
            </w:pPr>
            <w:r>
              <w:rPr>
                <w:rFonts w:ascii="Open Sans" w:hAnsi="Open Sans"/>
                <w:lang w:val="en-US"/>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33D01F37" w14:textId="77777777" w:rsidR="0090622E" w:rsidRPr="00837D53" w:rsidRDefault="00837D53" w:rsidP="0055724C">
            <w:pPr>
              <w:ind w:left="0" w:hanging="2"/>
              <w:jc w:val="center"/>
              <w:rPr>
                <w:rFonts w:ascii="Open Sans" w:hAnsi="Open Sans"/>
                <w:lang w:val="en-US"/>
              </w:rPr>
            </w:pPr>
            <w:r>
              <w:rPr>
                <w:rFonts w:ascii="Open Sans" w:hAnsi="Open Sans"/>
                <w:lang w:val="en-US"/>
              </w:rPr>
              <w:t>Valid</w:t>
            </w:r>
          </w:p>
        </w:tc>
      </w:tr>
      <w:tr w:rsidR="0090622E" w:rsidRPr="006777B4" w14:paraId="2EE2F622" w14:textId="77777777" w:rsidTr="00837D5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9545E6C" w14:textId="77777777" w:rsidR="0090622E" w:rsidRPr="006777B4" w:rsidRDefault="0090622E" w:rsidP="0055724C">
            <w:pPr>
              <w:ind w:left="0" w:hanging="2"/>
              <w:jc w:val="center"/>
              <w:rPr>
                <w:rFonts w:ascii="Open Sans" w:hAnsi="Open Sans"/>
              </w:rPr>
            </w:pPr>
            <w:r w:rsidRPr="006777B4">
              <w:rPr>
                <w:rFonts w:ascii="Open Sans" w:hAnsi="Open Sans"/>
              </w:rPr>
              <w:t>ROE</w:t>
            </w:r>
          </w:p>
        </w:tc>
        <w:tc>
          <w:tcPr>
            <w:tcW w:w="1276" w:type="dxa"/>
            <w:tcBorders>
              <w:top w:val="single" w:sz="4" w:space="0" w:color="auto"/>
              <w:left w:val="single" w:sz="4" w:space="0" w:color="auto"/>
              <w:bottom w:val="single" w:sz="4" w:space="0" w:color="auto"/>
              <w:right w:val="single" w:sz="4" w:space="0" w:color="auto"/>
            </w:tcBorders>
            <w:vAlign w:val="center"/>
          </w:tcPr>
          <w:p w14:paraId="04B709D7" w14:textId="77777777" w:rsidR="0090622E" w:rsidRPr="00F72BF9" w:rsidRDefault="00F72BF9" w:rsidP="0055724C">
            <w:pPr>
              <w:ind w:left="0" w:hanging="2"/>
              <w:jc w:val="center"/>
              <w:rPr>
                <w:rFonts w:ascii="Open Sans" w:hAnsi="Open Sans"/>
                <w:lang w:val="en-US"/>
              </w:rPr>
            </w:pPr>
            <w:r>
              <w:rPr>
                <w:rFonts w:ascii="Open Sans" w:hAnsi="Open Sans"/>
                <w:lang w:val="en-US"/>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7D011DD9" w14:textId="77777777" w:rsidR="0090622E" w:rsidRPr="00837D53" w:rsidRDefault="00837D53" w:rsidP="0055724C">
            <w:pPr>
              <w:ind w:left="0" w:hanging="2"/>
              <w:jc w:val="center"/>
              <w:rPr>
                <w:rFonts w:ascii="Open Sans" w:hAnsi="Open Sans"/>
                <w:lang w:val="en-US"/>
              </w:rPr>
            </w:pPr>
            <w:r>
              <w:rPr>
                <w:rFonts w:ascii="Open Sans" w:hAnsi="Open Sans"/>
                <w:lang w:val="en-US"/>
              </w:rPr>
              <w:t>Valid</w:t>
            </w:r>
          </w:p>
        </w:tc>
      </w:tr>
    </w:tbl>
    <w:p w14:paraId="54094A32" w14:textId="77777777" w:rsidR="008538E8" w:rsidRPr="006777B4" w:rsidRDefault="00A16D69" w:rsidP="008538E8">
      <w:pPr>
        <w:jc w:val="center"/>
        <w:rPr>
          <w:rFonts w:ascii="Open Sans" w:hAnsi="Open Sans"/>
        </w:rPr>
      </w:pPr>
      <w:r w:rsidRPr="006777B4">
        <w:rPr>
          <w:rFonts w:ascii="Open Sans" w:hAnsi="Open Sans"/>
        </w:rPr>
        <w:t>Source: Data processed with Smartpls (2024</w:t>
      </w:r>
      <w:r w:rsidR="0090622E" w:rsidRPr="006777B4">
        <w:rPr>
          <w:rFonts w:ascii="Open Sans" w:hAnsi="Open Sans"/>
        </w:rPr>
        <w:t>)</w:t>
      </w:r>
    </w:p>
    <w:p w14:paraId="037043D3" w14:textId="77777777" w:rsidR="006777B4" w:rsidRPr="006777B4" w:rsidRDefault="00837D53" w:rsidP="006777B4">
      <w:pPr>
        <w:ind w:firstLine="720"/>
        <w:jc w:val="both"/>
        <w:rPr>
          <w:rFonts w:ascii="Open Sans" w:hAnsi="Open Sans"/>
        </w:rPr>
      </w:pPr>
      <w:r>
        <w:rPr>
          <w:rFonts w:ascii="Open Sans" w:hAnsi="Open Sans"/>
          <w:lang w:val="en-US"/>
        </w:rPr>
        <w:t>All indicators have an AVE value higher than 0.50, according to Table 3. This implies that the indicators have strong convergent validity, which means they measure the desired constructs</w:t>
      </w:r>
      <w:r w:rsidR="008538E8" w:rsidRPr="006777B4">
        <w:rPr>
          <w:rFonts w:ascii="Open Sans" w:hAnsi="Open Sans"/>
        </w:rPr>
        <w:t xml:space="preserve">. </w:t>
      </w:r>
    </w:p>
    <w:p w14:paraId="04E69919" w14:textId="77777777" w:rsidR="006777B4" w:rsidRPr="006777B4" w:rsidRDefault="006777B4" w:rsidP="006777B4">
      <w:pPr>
        <w:ind w:firstLine="720"/>
        <w:jc w:val="both"/>
        <w:rPr>
          <w:rFonts w:ascii="Open Sans" w:hAnsi="Open Sans"/>
        </w:rPr>
      </w:pPr>
      <w:r w:rsidRPr="006777B4">
        <w:rPr>
          <w:rFonts w:ascii="Open Sans" w:hAnsi="Open Sans"/>
        </w:rPr>
        <w:t>The next step is to assess discriminant validity, which focuses on whether the constructs are distinct from each other. We can evaluate this using the Fornell-Larcker Criterion. Here are the results of discriminant validity:</w:t>
      </w:r>
    </w:p>
    <w:p w14:paraId="1D8C0457" w14:textId="77777777" w:rsidR="0090622E" w:rsidRPr="006777B4" w:rsidRDefault="00A16D69" w:rsidP="0090622E">
      <w:pPr>
        <w:jc w:val="center"/>
        <w:rPr>
          <w:rFonts w:ascii="Open Sans" w:hAnsi="Open Sans"/>
          <w:b/>
        </w:rPr>
      </w:pPr>
      <w:r w:rsidRPr="006777B4">
        <w:rPr>
          <w:rFonts w:ascii="Open Sans" w:hAnsi="Open Sans"/>
          <w:b/>
        </w:rPr>
        <w:t>Table 4. Discriminant Validity Results</w:t>
      </w:r>
    </w:p>
    <w:tbl>
      <w:tblPr>
        <w:tblStyle w:val="TableGrid"/>
        <w:tblW w:w="7230" w:type="dxa"/>
        <w:jc w:val="center"/>
        <w:tblInd w:w="0" w:type="dxa"/>
        <w:tblLayout w:type="fixed"/>
        <w:tblLook w:val="04A0" w:firstRow="1" w:lastRow="0" w:firstColumn="1" w:lastColumn="0" w:noHBand="0" w:noVBand="1"/>
      </w:tblPr>
      <w:tblGrid>
        <w:gridCol w:w="1340"/>
        <w:gridCol w:w="787"/>
        <w:gridCol w:w="1276"/>
        <w:gridCol w:w="1276"/>
        <w:gridCol w:w="850"/>
        <w:gridCol w:w="851"/>
        <w:gridCol w:w="850"/>
      </w:tblGrid>
      <w:tr w:rsidR="0090622E" w:rsidRPr="006777B4" w14:paraId="0398940E" w14:textId="77777777" w:rsidTr="001A5EDD">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1F8F302F" w14:textId="77777777" w:rsidR="0090622E" w:rsidRPr="006777B4" w:rsidRDefault="0090622E" w:rsidP="004E57F3">
            <w:pPr>
              <w:ind w:left="0" w:hanging="2"/>
              <w:jc w:val="center"/>
              <w:rPr>
                <w:rFonts w:ascii="Open Sans" w:hAnsi="Open Sans"/>
              </w:rPr>
            </w:pPr>
          </w:p>
        </w:tc>
        <w:tc>
          <w:tcPr>
            <w:tcW w:w="787" w:type="dxa"/>
            <w:tcBorders>
              <w:top w:val="single" w:sz="4" w:space="0" w:color="auto"/>
              <w:left w:val="single" w:sz="4" w:space="0" w:color="auto"/>
              <w:bottom w:val="single" w:sz="4" w:space="0" w:color="auto"/>
              <w:right w:val="single" w:sz="4" w:space="0" w:color="auto"/>
            </w:tcBorders>
            <w:vAlign w:val="center"/>
            <w:hideMark/>
          </w:tcPr>
          <w:p w14:paraId="533845DA" w14:textId="77777777" w:rsidR="0090622E" w:rsidRPr="006777B4" w:rsidRDefault="0090622E" w:rsidP="004E57F3">
            <w:pPr>
              <w:ind w:left="0" w:hanging="2"/>
              <w:jc w:val="center"/>
              <w:rPr>
                <w:rFonts w:ascii="Open Sans" w:hAnsi="Open Sans"/>
              </w:rPr>
            </w:pPr>
            <w:r w:rsidRPr="006777B4">
              <w:rPr>
                <w:rFonts w:ascii="Open Sans" w:hAnsi="Open Sans"/>
              </w:rPr>
              <w:t>CSR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DCA0AD" w14:textId="77777777" w:rsidR="0090622E" w:rsidRPr="006777B4" w:rsidRDefault="0090622E" w:rsidP="004E57F3">
            <w:pPr>
              <w:ind w:left="0" w:hanging="2"/>
              <w:jc w:val="center"/>
              <w:rPr>
                <w:rFonts w:ascii="Open Sans" w:hAnsi="Open Sans"/>
              </w:rPr>
            </w:pPr>
            <w:r w:rsidRPr="006777B4">
              <w:rPr>
                <w:rFonts w:ascii="Open Sans" w:hAnsi="Open Sans"/>
              </w:rPr>
              <w:t>ROA*CSR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0CD694" w14:textId="77777777" w:rsidR="0090622E" w:rsidRPr="006777B4" w:rsidRDefault="0090622E" w:rsidP="004E57F3">
            <w:pPr>
              <w:ind w:left="0" w:hanging="2"/>
              <w:jc w:val="center"/>
              <w:rPr>
                <w:rFonts w:ascii="Open Sans" w:hAnsi="Open Sans"/>
              </w:rPr>
            </w:pPr>
            <w:r w:rsidRPr="006777B4">
              <w:rPr>
                <w:rFonts w:ascii="Open Sans" w:hAnsi="Open Sans"/>
              </w:rPr>
              <w:t>ROE*CSR</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90BB6A" w14:textId="77777777" w:rsidR="0090622E" w:rsidRPr="006777B4" w:rsidRDefault="0090622E" w:rsidP="004E57F3">
            <w:pPr>
              <w:ind w:left="0" w:hanging="2"/>
              <w:jc w:val="center"/>
              <w:rPr>
                <w:rFonts w:ascii="Open Sans" w:hAnsi="Open Sans"/>
              </w:rPr>
            </w:pPr>
            <w:r w:rsidRPr="006777B4">
              <w:rPr>
                <w:rFonts w:ascii="Open Sans" w:hAnsi="Open Sans"/>
              </w:rPr>
              <w:t>PBV</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72AE93" w14:textId="77777777" w:rsidR="0090622E" w:rsidRPr="006777B4" w:rsidRDefault="0090622E" w:rsidP="004E57F3">
            <w:pPr>
              <w:ind w:left="0" w:hanging="2"/>
              <w:jc w:val="center"/>
              <w:rPr>
                <w:rFonts w:ascii="Open Sans" w:hAnsi="Open Sans"/>
              </w:rPr>
            </w:pPr>
            <w:r w:rsidRPr="006777B4">
              <w:rPr>
                <w:rFonts w:ascii="Open Sans" w:hAnsi="Open Sans"/>
              </w:rPr>
              <w:t>ROA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9FE172" w14:textId="77777777" w:rsidR="0090622E" w:rsidRPr="006777B4" w:rsidRDefault="0090622E" w:rsidP="004E57F3">
            <w:pPr>
              <w:ind w:left="0" w:hanging="2"/>
              <w:jc w:val="center"/>
              <w:rPr>
                <w:rFonts w:ascii="Open Sans" w:hAnsi="Open Sans"/>
              </w:rPr>
            </w:pPr>
            <w:r w:rsidRPr="006777B4">
              <w:rPr>
                <w:rFonts w:ascii="Open Sans" w:hAnsi="Open Sans"/>
              </w:rPr>
              <w:t>ROE</w:t>
            </w:r>
          </w:p>
        </w:tc>
      </w:tr>
      <w:tr w:rsidR="0090622E" w:rsidRPr="006777B4" w14:paraId="06C9009C" w14:textId="77777777" w:rsidTr="001A5EDD">
        <w:trPr>
          <w:jc w:val="center"/>
        </w:trPr>
        <w:tc>
          <w:tcPr>
            <w:tcW w:w="1340" w:type="dxa"/>
            <w:tcBorders>
              <w:top w:val="single" w:sz="4" w:space="0" w:color="auto"/>
              <w:left w:val="single" w:sz="4" w:space="0" w:color="auto"/>
              <w:bottom w:val="single" w:sz="4" w:space="0" w:color="auto"/>
              <w:right w:val="single" w:sz="4" w:space="0" w:color="auto"/>
            </w:tcBorders>
            <w:vAlign w:val="center"/>
            <w:hideMark/>
          </w:tcPr>
          <w:p w14:paraId="0F749510" w14:textId="77777777" w:rsidR="0090622E" w:rsidRPr="006777B4" w:rsidRDefault="0090622E" w:rsidP="004E57F3">
            <w:pPr>
              <w:ind w:left="0" w:hanging="2"/>
              <w:jc w:val="center"/>
              <w:rPr>
                <w:rFonts w:ascii="Open Sans" w:hAnsi="Open Sans"/>
              </w:rPr>
            </w:pPr>
            <w:r w:rsidRPr="006777B4">
              <w:rPr>
                <w:rFonts w:ascii="Open Sans" w:hAnsi="Open Sans"/>
              </w:rPr>
              <w:t>CSR</w:t>
            </w:r>
          </w:p>
        </w:tc>
        <w:tc>
          <w:tcPr>
            <w:tcW w:w="787" w:type="dxa"/>
            <w:tcBorders>
              <w:top w:val="single" w:sz="4" w:space="0" w:color="auto"/>
              <w:left w:val="single" w:sz="4" w:space="0" w:color="auto"/>
              <w:bottom w:val="single" w:sz="4" w:space="0" w:color="auto"/>
              <w:right w:val="single" w:sz="4" w:space="0" w:color="auto"/>
            </w:tcBorders>
            <w:vAlign w:val="center"/>
            <w:hideMark/>
          </w:tcPr>
          <w:p w14:paraId="06872E3B" w14:textId="77777777" w:rsidR="0090622E" w:rsidRPr="006777B4" w:rsidRDefault="0090622E" w:rsidP="004E57F3">
            <w:pPr>
              <w:ind w:left="0" w:hanging="2"/>
              <w:jc w:val="center"/>
              <w:rPr>
                <w:rFonts w:ascii="Open Sans" w:hAnsi="Open Sans"/>
              </w:rPr>
            </w:pPr>
            <w:r w:rsidRPr="006777B4">
              <w:rPr>
                <w:rFonts w:ascii="Open Sans" w:hAnsi="Open Sans"/>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0B052F61" w14:textId="77777777" w:rsidR="0090622E" w:rsidRPr="006777B4" w:rsidRDefault="0090622E" w:rsidP="004E57F3">
            <w:pPr>
              <w:ind w:left="0" w:hanging="2"/>
              <w:jc w:val="center"/>
              <w:rPr>
                <w:rFonts w:ascii="Open Sans" w:hAnsi="Open Sans"/>
              </w:rPr>
            </w:pPr>
          </w:p>
        </w:tc>
        <w:tc>
          <w:tcPr>
            <w:tcW w:w="1276" w:type="dxa"/>
            <w:tcBorders>
              <w:top w:val="single" w:sz="4" w:space="0" w:color="auto"/>
              <w:left w:val="single" w:sz="4" w:space="0" w:color="auto"/>
              <w:bottom w:val="single" w:sz="4" w:space="0" w:color="auto"/>
              <w:right w:val="single" w:sz="4" w:space="0" w:color="auto"/>
            </w:tcBorders>
            <w:vAlign w:val="center"/>
          </w:tcPr>
          <w:p w14:paraId="60F75A94" w14:textId="77777777" w:rsidR="0090622E" w:rsidRPr="006777B4" w:rsidRDefault="0090622E" w:rsidP="004E57F3">
            <w:pPr>
              <w:ind w:left="0" w:hanging="2"/>
              <w:jc w:val="center"/>
              <w:rPr>
                <w:rFonts w:ascii="Open Sans" w:hAnsi="Open Sans"/>
              </w:rPr>
            </w:pPr>
          </w:p>
        </w:tc>
        <w:tc>
          <w:tcPr>
            <w:tcW w:w="850" w:type="dxa"/>
            <w:tcBorders>
              <w:top w:val="single" w:sz="4" w:space="0" w:color="auto"/>
              <w:left w:val="single" w:sz="4" w:space="0" w:color="auto"/>
              <w:bottom w:val="single" w:sz="4" w:space="0" w:color="auto"/>
              <w:right w:val="single" w:sz="4" w:space="0" w:color="auto"/>
            </w:tcBorders>
            <w:vAlign w:val="center"/>
          </w:tcPr>
          <w:p w14:paraId="0C5ABE67" w14:textId="77777777" w:rsidR="0090622E" w:rsidRPr="006777B4" w:rsidRDefault="0090622E" w:rsidP="004E57F3">
            <w:pPr>
              <w:ind w:left="0" w:hanging="2"/>
              <w:jc w:val="center"/>
              <w:rPr>
                <w:rFonts w:ascii="Open Sans" w:hAnsi="Open Sans"/>
              </w:rPr>
            </w:pPr>
          </w:p>
        </w:tc>
        <w:tc>
          <w:tcPr>
            <w:tcW w:w="851" w:type="dxa"/>
            <w:tcBorders>
              <w:top w:val="single" w:sz="4" w:space="0" w:color="auto"/>
              <w:left w:val="single" w:sz="4" w:space="0" w:color="auto"/>
              <w:bottom w:val="single" w:sz="4" w:space="0" w:color="auto"/>
              <w:right w:val="single" w:sz="4" w:space="0" w:color="auto"/>
            </w:tcBorders>
            <w:vAlign w:val="center"/>
          </w:tcPr>
          <w:p w14:paraId="104738B5" w14:textId="77777777" w:rsidR="0090622E" w:rsidRPr="006777B4" w:rsidRDefault="0090622E" w:rsidP="004E57F3">
            <w:pPr>
              <w:ind w:left="0" w:hanging="2"/>
              <w:jc w:val="center"/>
              <w:rPr>
                <w:rFonts w:ascii="Open Sans" w:hAnsi="Open Sans"/>
              </w:rPr>
            </w:pPr>
          </w:p>
        </w:tc>
        <w:tc>
          <w:tcPr>
            <w:tcW w:w="850" w:type="dxa"/>
            <w:tcBorders>
              <w:top w:val="single" w:sz="4" w:space="0" w:color="auto"/>
              <w:left w:val="single" w:sz="4" w:space="0" w:color="auto"/>
              <w:bottom w:val="single" w:sz="4" w:space="0" w:color="auto"/>
              <w:right w:val="single" w:sz="4" w:space="0" w:color="auto"/>
            </w:tcBorders>
            <w:vAlign w:val="center"/>
          </w:tcPr>
          <w:p w14:paraId="17572F94" w14:textId="77777777" w:rsidR="0090622E" w:rsidRPr="006777B4" w:rsidRDefault="0090622E" w:rsidP="004E57F3">
            <w:pPr>
              <w:ind w:left="0" w:hanging="2"/>
              <w:jc w:val="center"/>
              <w:rPr>
                <w:rFonts w:ascii="Open Sans" w:hAnsi="Open Sans"/>
              </w:rPr>
            </w:pPr>
          </w:p>
        </w:tc>
      </w:tr>
      <w:tr w:rsidR="0090622E" w:rsidRPr="006777B4" w14:paraId="5FEECC0E" w14:textId="77777777" w:rsidTr="001A5EDD">
        <w:trPr>
          <w:jc w:val="center"/>
        </w:trPr>
        <w:tc>
          <w:tcPr>
            <w:tcW w:w="1340" w:type="dxa"/>
            <w:tcBorders>
              <w:top w:val="single" w:sz="4" w:space="0" w:color="auto"/>
              <w:left w:val="single" w:sz="4" w:space="0" w:color="auto"/>
              <w:bottom w:val="single" w:sz="4" w:space="0" w:color="auto"/>
              <w:right w:val="single" w:sz="4" w:space="0" w:color="auto"/>
            </w:tcBorders>
            <w:vAlign w:val="center"/>
            <w:hideMark/>
          </w:tcPr>
          <w:p w14:paraId="68290ADB" w14:textId="77777777" w:rsidR="0090622E" w:rsidRPr="006777B4" w:rsidRDefault="0090622E" w:rsidP="004E57F3">
            <w:pPr>
              <w:ind w:left="0" w:hanging="2"/>
              <w:jc w:val="center"/>
              <w:rPr>
                <w:rFonts w:ascii="Open Sans" w:hAnsi="Open Sans"/>
              </w:rPr>
            </w:pPr>
            <w:r w:rsidRPr="006777B4">
              <w:rPr>
                <w:rFonts w:ascii="Open Sans" w:hAnsi="Open Sans"/>
              </w:rPr>
              <w:t>ROA*CSR</w:t>
            </w:r>
          </w:p>
        </w:tc>
        <w:tc>
          <w:tcPr>
            <w:tcW w:w="787" w:type="dxa"/>
            <w:tcBorders>
              <w:top w:val="single" w:sz="4" w:space="0" w:color="auto"/>
              <w:left w:val="single" w:sz="4" w:space="0" w:color="auto"/>
              <w:bottom w:val="single" w:sz="4" w:space="0" w:color="auto"/>
              <w:right w:val="single" w:sz="4" w:space="0" w:color="auto"/>
            </w:tcBorders>
            <w:vAlign w:val="center"/>
            <w:hideMark/>
          </w:tcPr>
          <w:p w14:paraId="09925784" w14:textId="77777777" w:rsidR="0090622E" w:rsidRPr="006777B4" w:rsidRDefault="0090622E" w:rsidP="004E57F3">
            <w:pPr>
              <w:ind w:left="0" w:hanging="2"/>
              <w:jc w:val="center"/>
              <w:rPr>
                <w:rFonts w:ascii="Open Sans" w:hAnsi="Open Sans"/>
              </w:rPr>
            </w:pPr>
            <w:r w:rsidRPr="006777B4">
              <w:rPr>
                <w:rFonts w:ascii="Open Sans" w:hAnsi="Open Sans"/>
              </w:rPr>
              <w:t>-0.177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342244" w14:textId="77777777" w:rsidR="0090622E" w:rsidRPr="006777B4" w:rsidRDefault="0090622E" w:rsidP="004E57F3">
            <w:pPr>
              <w:ind w:left="0" w:hanging="2"/>
              <w:jc w:val="center"/>
              <w:rPr>
                <w:rFonts w:ascii="Open Sans" w:hAnsi="Open Sans"/>
              </w:rPr>
            </w:pPr>
            <w:r w:rsidRPr="006777B4">
              <w:rPr>
                <w:rFonts w:ascii="Open Sans" w:hAnsi="Open Sans"/>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41137733" w14:textId="77777777" w:rsidR="0090622E" w:rsidRPr="006777B4" w:rsidRDefault="0090622E" w:rsidP="004E57F3">
            <w:pPr>
              <w:ind w:left="0" w:hanging="2"/>
              <w:jc w:val="center"/>
              <w:rPr>
                <w:rFonts w:ascii="Open Sans" w:hAnsi="Open Sans"/>
              </w:rPr>
            </w:pPr>
          </w:p>
        </w:tc>
        <w:tc>
          <w:tcPr>
            <w:tcW w:w="850" w:type="dxa"/>
            <w:tcBorders>
              <w:top w:val="single" w:sz="4" w:space="0" w:color="auto"/>
              <w:left w:val="single" w:sz="4" w:space="0" w:color="auto"/>
              <w:bottom w:val="single" w:sz="4" w:space="0" w:color="auto"/>
              <w:right w:val="single" w:sz="4" w:space="0" w:color="auto"/>
            </w:tcBorders>
            <w:vAlign w:val="center"/>
          </w:tcPr>
          <w:p w14:paraId="22D0B9F8" w14:textId="77777777" w:rsidR="0090622E" w:rsidRPr="006777B4" w:rsidRDefault="0090622E" w:rsidP="004E57F3">
            <w:pPr>
              <w:ind w:left="0" w:hanging="2"/>
              <w:jc w:val="center"/>
              <w:rPr>
                <w:rFonts w:ascii="Open Sans" w:hAnsi="Open Sans"/>
              </w:rPr>
            </w:pPr>
          </w:p>
        </w:tc>
        <w:tc>
          <w:tcPr>
            <w:tcW w:w="851" w:type="dxa"/>
            <w:tcBorders>
              <w:top w:val="single" w:sz="4" w:space="0" w:color="auto"/>
              <w:left w:val="single" w:sz="4" w:space="0" w:color="auto"/>
              <w:bottom w:val="single" w:sz="4" w:space="0" w:color="auto"/>
              <w:right w:val="single" w:sz="4" w:space="0" w:color="auto"/>
            </w:tcBorders>
            <w:vAlign w:val="center"/>
          </w:tcPr>
          <w:p w14:paraId="3C7B1BC9" w14:textId="77777777" w:rsidR="0090622E" w:rsidRPr="006777B4" w:rsidRDefault="0090622E" w:rsidP="004E57F3">
            <w:pPr>
              <w:ind w:left="0" w:hanging="2"/>
              <w:jc w:val="center"/>
              <w:rPr>
                <w:rFonts w:ascii="Open Sans" w:hAnsi="Open Sans"/>
              </w:rPr>
            </w:pPr>
          </w:p>
        </w:tc>
        <w:tc>
          <w:tcPr>
            <w:tcW w:w="850" w:type="dxa"/>
            <w:tcBorders>
              <w:top w:val="single" w:sz="4" w:space="0" w:color="auto"/>
              <w:left w:val="single" w:sz="4" w:space="0" w:color="auto"/>
              <w:bottom w:val="single" w:sz="4" w:space="0" w:color="auto"/>
              <w:right w:val="single" w:sz="4" w:space="0" w:color="auto"/>
            </w:tcBorders>
            <w:vAlign w:val="center"/>
          </w:tcPr>
          <w:p w14:paraId="59E5CCCD" w14:textId="77777777" w:rsidR="0090622E" w:rsidRPr="006777B4" w:rsidRDefault="0090622E" w:rsidP="004E57F3">
            <w:pPr>
              <w:ind w:left="0" w:hanging="2"/>
              <w:jc w:val="center"/>
              <w:rPr>
                <w:rFonts w:ascii="Open Sans" w:hAnsi="Open Sans"/>
              </w:rPr>
            </w:pPr>
          </w:p>
        </w:tc>
      </w:tr>
      <w:tr w:rsidR="0090622E" w:rsidRPr="006777B4" w14:paraId="3EBB19D8" w14:textId="77777777" w:rsidTr="001A5EDD">
        <w:trPr>
          <w:jc w:val="center"/>
        </w:trPr>
        <w:tc>
          <w:tcPr>
            <w:tcW w:w="1340" w:type="dxa"/>
            <w:tcBorders>
              <w:top w:val="single" w:sz="4" w:space="0" w:color="auto"/>
              <w:left w:val="single" w:sz="4" w:space="0" w:color="auto"/>
              <w:bottom w:val="single" w:sz="4" w:space="0" w:color="auto"/>
              <w:right w:val="single" w:sz="4" w:space="0" w:color="auto"/>
            </w:tcBorders>
            <w:vAlign w:val="center"/>
            <w:hideMark/>
          </w:tcPr>
          <w:p w14:paraId="67173164" w14:textId="77777777" w:rsidR="0090622E" w:rsidRPr="006777B4" w:rsidRDefault="0090622E" w:rsidP="004E57F3">
            <w:pPr>
              <w:ind w:left="0" w:hanging="2"/>
              <w:jc w:val="center"/>
              <w:rPr>
                <w:rFonts w:ascii="Open Sans" w:hAnsi="Open Sans"/>
              </w:rPr>
            </w:pPr>
            <w:r w:rsidRPr="006777B4">
              <w:rPr>
                <w:rFonts w:ascii="Open Sans" w:hAnsi="Open Sans"/>
              </w:rPr>
              <w:t>ROE*CSR</w:t>
            </w:r>
          </w:p>
        </w:tc>
        <w:tc>
          <w:tcPr>
            <w:tcW w:w="787" w:type="dxa"/>
            <w:tcBorders>
              <w:top w:val="single" w:sz="4" w:space="0" w:color="auto"/>
              <w:left w:val="single" w:sz="4" w:space="0" w:color="auto"/>
              <w:bottom w:val="single" w:sz="4" w:space="0" w:color="auto"/>
              <w:right w:val="single" w:sz="4" w:space="0" w:color="auto"/>
            </w:tcBorders>
            <w:vAlign w:val="center"/>
            <w:hideMark/>
          </w:tcPr>
          <w:p w14:paraId="7FCEB047" w14:textId="77777777" w:rsidR="0090622E" w:rsidRPr="006777B4" w:rsidRDefault="0090622E" w:rsidP="004E57F3">
            <w:pPr>
              <w:ind w:left="0" w:hanging="2"/>
              <w:jc w:val="center"/>
              <w:rPr>
                <w:rFonts w:ascii="Open Sans" w:hAnsi="Open Sans"/>
              </w:rPr>
            </w:pPr>
            <w:r w:rsidRPr="006777B4">
              <w:rPr>
                <w:rFonts w:ascii="Open Sans" w:hAnsi="Open Sans"/>
              </w:rPr>
              <w:t>-0.089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4D83A9" w14:textId="77777777" w:rsidR="0090622E" w:rsidRPr="006777B4" w:rsidRDefault="0090622E" w:rsidP="004E57F3">
            <w:pPr>
              <w:ind w:left="0" w:hanging="2"/>
              <w:jc w:val="center"/>
              <w:rPr>
                <w:rFonts w:ascii="Open Sans" w:hAnsi="Open Sans"/>
              </w:rPr>
            </w:pPr>
            <w:r w:rsidRPr="006777B4">
              <w:rPr>
                <w:rFonts w:ascii="Open Sans" w:hAnsi="Open Sans"/>
              </w:rPr>
              <w:t>0.895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C0CB94" w14:textId="77777777" w:rsidR="0090622E" w:rsidRPr="006777B4" w:rsidRDefault="0090622E" w:rsidP="004E57F3">
            <w:pPr>
              <w:ind w:left="0" w:hanging="2"/>
              <w:jc w:val="center"/>
              <w:rPr>
                <w:rFonts w:ascii="Open Sans" w:hAnsi="Open Sans"/>
              </w:rPr>
            </w:pPr>
            <w:r w:rsidRPr="006777B4">
              <w:rPr>
                <w:rFonts w:ascii="Open Sans" w:hAnsi="Open Sans"/>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064EB6CC" w14:textId="77777777" w:rsidR="0090622E" w:rsidRPr="006777B4" w:rsidRDefault="0090622E" w:rsidP="004E57F3">
            <w:pPr>
              <w:ind w:left="0" w:hanging="2"/>
              <w:jc w:val="center"/>
              <w:rPr>
                <w:rFonts w:ascii="Open Sans" w:hAnsi="Open Sans"/>
              </w:rPr>
            </w:pPr>
          </w:p>
        </w:tc>
        <w:tc>
          <w:tcPr>
            <w:tcW w:w="851" w:type="dxa"/>
            <w:tcBorders>
              <w:top w:val="single" w:sz="4" w:space="0" w:color="auto"/>
              <w:left w:val="single" w:sz="4" w:space="0" w:color="auto"/>
              <w:bottom w:val="single" w:sz="4" w:space="0" w:color="auto"/>
              <w:right w:val="single" w:sz="4" w:space="0" w:color="auto"/>
            </w:tcBorders>
            <w:vAlign w:val="center"/>
          </w:tcPr>
          <w:p w14:paraId="14C77545" w14:textId="77777777" w:rsidR="0090622E" w:rsidRPr="006777B4" w:rsidRDefault="0090622E" w:rsidP="004E57F3">
            <w:pPr>
              <w:ind w:left="0" w:hanging="2"/>
              <w:jc w:val="center"/>
              <w:rPr>
                <w:rFonts w:ascii="Open Sans" w:hAnsi="Open Sans"/>
              </w:rPr>
            </w:pPr>
          </w:p>
        </w:tc>
        <w:tc>
          <w:tcPr>
            <w:tcW w:w="850" w:type="dxa"/>
            <w:tcBorders>
              <w:top w:val="single" w:sz="4" w:space="0" w:color="auto"/>
              <w:left w:val="single" w:sz="4" w:space="0" w:color="auto"/>
              <w:bottom w:val="single" w:sz="4" w:space="0" w:color="auto"/>
              <w:right w:val="single" w:sz="4" w:space="0" w:color="auto"/>
            </w:tcBorders>
            <w:vAlign w:val="center"/>
          </w:tcPr>
          <w:p w14:paraId="42EAA4A5" w14:textId="77777777" w:rsidR="0090622E" w:rsidRPr="006777B4" w:rsidRDefault="0090622E" w:rsidP="004E57F3">
            <w:pPr>
              <w:ind w:left="0" w:hanging="2"/>
              <w:jc w:val="center"/>
              <w:rPr>
                <w:rFonts w:ascii="Open Sans" w:hAnsi="Open Sans"/>
              </w:rPr>
            </w:pPr>
          </w:p>
        </w:tc>
      </w:tr>
      <w:tr w:rsidR="0090622E" w:rsidRPr="006777B4" w14:paraId="245892F6" w14:textId="77777777" w:rsidTr="001A5EDD">
        <w:trPr>
          <w:jc w:val="center"/>
        </w:trPr>
        <w:tc>
          <w:tcPr>
            <w:tcW w:w="1340" w:type="dxa"/>
            <w:tcBorders>
              <w:top w:val="single" w:sz="4" w:space="0" w:color="auto"/>
              <w:left w:val="single" w:sz="4" w:space="0" w:color="auto"/>
              <w:bottom w:val="single" w:sz="4" w:space="0" w:color="auto"/>
              <w:right w:val="single" w:sz="4" w:space="0" w:color="auto"/>
            </w:tcBorders>
            <w:vAlign w:val="center"/>
            <w:hideMark/>
          </w:tcPr>
          <w:p w14:paraId="2ADB4D62" w14:textId="77777777" w:rsidR="0090622E" w:rsidRPr="006777B4" w:rsidRDefault="0090622E" w:rsidP="004E57F3">
            <w:pPr>
              <w:ind w:left="0" w:hanging="2"/>
              <w:jc w:val="center"/>
              <w:rPr>
                <w:rFonts w:ascii="Open Sans" w:hAnsi="Open Sans"/>
              </w:rPr>
            </w:pPr>
            <w:r w:rsidRPr="006777B4">
              <w:rPr>
                <w:rFonts w:ascii="Open Sans" w:hAnsi="Open Sans"/>
              </w:rPr>
              <w:t>PBV</w:t>
            </w:r>
          </w:p>
        </w:tc>
        <w:tc>
          <w:tcPr>
            <w:tcW w:w="787" w:type="dxa"/>
            <w:tcBorders>
              <w:top w:val="single" w:sz="4" w:space="0" w:color="auto"/>
              <w:left w:val="single" w:sz="4" w:space="0" w:color="auto"/>
              <w:bottom w:val="single" w:sz="4" w:space="0" w:color="auto"/>
              <w:right w:val="single" w:sz="4" w:space="0" w:color="auto"/>
            </w:tcBorders>
            <w:vAlign w:val="center"/>
            <w:hideMark/>
          </w:tcPr>
          <w:p w14:paraId="3A34813E" w14:textId="77777777" w:rsidR="0090622E" w:rsidRPr="006777B4" w:rsidRDefault="0090622E" w:rsidP="004E57F3">
            <w:pPr>
              <w:ind w:left="0" w:hanging="2"/>
              <w:jc w:val="center"/>
              <w:rPr>
                <w:rFonts w:ascii="Open Sans" w:hAnsi="Open Sans"/>
              </w:rPr>
            </w:pPr>
            <w:r w:rsidRPr="006777B4">
              <w:rPr>
                <w:rFonts w:ascii="Open Sans" w:hAnsi="Open Sans"/>
              </w:rPr>
              <w:t>-0.122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4EFCCC" w14:textId="77777777" w:rsidR="0090622E" w:rsidRPr="006777B4" w:rsidRDefault="0090622E" w:rsidP="004E57F3">
            <w:pPr>
              <w:ind w:left="0" w:hanging="2"/>
              <w:jc w:val="center"/>
              <w:rPr>
                <w:rFonts w:ascii="Open Sans" w:hAnsi="Open Sans"/>
              </w:rPr>
            </w:pPr>
            <w:r w:rsidRPr="006777B4">
              <w:rPr>
                <w:rFonts w:ascii="Open Sans" w:hAnsi="Open Sans"/>
              </w:rPr>
              <w:t>0.126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44C658" w14:textId="77777777" w:rsidR="0090622E" w:rsidRPr="006777B4" w:rsidRDefault="0090622E" w:rsidP="004E57F3">
            <w:pPr>
              <w:ind w:left="0" w:hanging="2"/>
              <w:jc w:val="center"/>
              <w:rPr>
                <w:rFonts w:ascii="Open Sans" w:hAnsi="Open Sans"/>
              </w:rPr>
            </w:pPr>
            <w:r w:rsidRPr="006777B4">
              <w:rPr>
                <w:rFonts w:ascii="Open Sans" w:hAnsi="Open Sans"/>
              </w:rPr>
              <w:t>-0.022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A0C91" w14:textId="77777777" w:rsidR="0090622E" w:rsidRPr="006777B4" w:rsidRDefault="0090622E" w:rsidP="004E57F3">
            <w:pPr>
              <w:ind w:left="0" w:hanging="2"/>
              <w:jc w:val="center"/>
              <w:rPr>
                <w:rFonts w:ascii="Open Sans" w:hAnsi="Open Sans"/>
              </w:rPr>
            </w:pPr>
            <w:r w:rsidRPr="006777B4">
              <w:rPr>
                <w:rFonts w:ascii="Open Sans" w:hAnsi="Open Sans"/>
              </w:rPr>
              <w:t>1.000</w:t>
            </w:r>
          </w:p>
        </w:tc>
        <w:tc>
          <w:tcPr>
            <w:tcW w:w="851" w:type="dxa"/>
            <w:tcBorders>
              <w:top w:val="single" w:sz="4" w:space="0" w:color="auto"/>
              <w:left w:val="single" w:sz="4" w:space="0" w:color="auto"/>
              <w:bottom w:val="single" w:sz="4" w:space="0" w:color="auto"/>
              <w:right w:val="single" w:sz="4" w:space="0" w:color="auto"/>
            </w:tcBorders>
            <w:vAlign w:val="center"/>
          </w:tcPr>
          <w:p w14:paraId="7A40CE0B" w14:textId="77777777" w:rsidR="0090622E" w:rsidRPr="006777B4" w:rsidRDefault="0090622E" w:rsidP="004E57F3">
            <w:pPr>
              <w:ind w:left="0" w:hanging="2"/>
              <w:jc w:val="center"/>
              <w:rPr>
                <w:rFonts w:ascii="Open Sans" w:hAnsi="Open Sans"/>
              </w:rPr>
            </w:pPr>
          </w:p>
        </w:tc>
        <w:tc>
          <w:tcPr>
            <w:tcW w:w="850" w:type="dxa"/>
            <w:tcBorders>
              <w:top w:val="single" w:sz="4" w:space="0" w:color="auto"/>
              <w:left w:val="single" w:sz="4" w:space="0" w:color="auto"/>
              <w:bottom w:val="single" w:sz="4" w:space="0" w:color="auto"/>
              <w:right w:val="single" w:sz="4" w:space="0" w:color="auto"/>
            </w:tcBorders>
            <w:vAlign w:val="center"/>
          </w:tcPr>
          <w:p w14:paraId="232D851E" w14:textId="77777777" w:rsidR="0090622E" w:rsidRPr="006777B4" w:rsidRDefault="0090622E" w:rsidP="004E57F3">
            <w:pPr>
              <w:ind w:left="0" w:hanging="2"/>
              <w:jc w:val="center"/>
              <w:rPr>
                <w:rFonts w:ascii="Open Sans" w:hAnsi="Open Sans"/>
              </w:rPr>
            </w:pPr>
          </w:p>
        </w:tc>
      </w:tr>
      <w:tr w:rsidR="0090622E" w:rsidRPr="006777B4" w14:paraId="58D51C65" w14:textId="77777777" w:rsidTr="001A5EDD">
        <w:trPr>
          <w:jc w:val="center"/>
        </w:trPr>
        <w:tc>
          <w:tcPr>
            <w:tcW w:w="1340" w:type="dxa"/>
            <w:tcBorders>
              <w:top w:val="single" w:sz="4" w:space="0" w:color="auto"/>
              <w:left w:val="single" w:sz="4" w:space="0" w:color="auto"/>
              <w:bottom w:val="single" w:sz="4" w:space="0" w:color="auto"/>
              <w:right w:val="single" w:sz="4" w:space="0" w:color="auto"/>
            </w:tcBorders>
            <w:vAlign w:val="center"/>
            <w:hideMark/>
          </w:tcPr>
          <w:p w14:paraId="750AB0A5" w14:textId="77777777" w:rsidR="0090622E" w:rsidRPr="006777B4" w:rsidRDefault="0090622E" w:rsidP="004E57F3">
            <w:pPr>
              <w:ind w:left="0" w:hanging="2"/>
              <w:jc w:val="center"/>
              <w:rPr>
                <w:rFonts w:ascii="Open Sans" w:hAnsi="Open Sans"/>
              </w:rPr>
            </w:pPr>
            <w:r w:rsidRPr="006777B4">
              <w:rPr>
                <w:rFonts w:ascii="Open Sans" w:hAnsi="Open Sans"/>
              </w:rPr>
              <w:t>ROA</w:t>
            </w:r>
          </w:p>
        </w:tc>
        <w:tc>
          <w:tcPr>
            <w:tcW w:w="787" w:type="dxa"/>
            <w:tcBorders>
              <w:top w:val="single" w:sz="4" w:space="0" w:color="auto"/>
              <w:left w:val="single" w:sz="4" w:space="0" w:color="auto"/>
              <w:bottom w:val="single" w:sz="4" w:space="0" w:color="auto"/>
              <w:right w:val="single" w:sz="4" w:space="0" w:color="auto"/>
            </w:tcBorders>
            <w:vAlign w:val="center"/>
            <w:hideMark/>
          </w:tcPr>
          <w:p w14:paraId="36279C82" w14:textId="77777777" w:rsidR="0090622E" w:rsidRPr="006777B4" w:rsidRDefault="0090622E" w:rsidP="004E57F3">
            <w:pPr>
              <w:ind w:left="0" w:hanging="2"/>
              <w:jc w:val="center"/>
              <w:rPr>
                <w:rFonts w:ascii="Open Sans" w:hAnsi="Open Sans"/>
              </w:rPr>
            </w:pPr>
            <w:r w:rsidRPr="006777B4">
              <w:rPr>
                <w:rFonts w:ascii="Open Sans" w:hAnsi="Open Sans"/>
              </w:rPr>
              <w:t>-0.206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ABF6BA" w14:textId="77777777" w:rsidR="0090622E" w:rsidRPr="006777B4" w:rsidRDefault="0090622E" w:rsidP="004E57F3">
            <w:pPr>
              <w:ind w:left="0" w:hanging="2"/>
              <w:jc w:val="center"/>
              <w:rPr>
                <w:rFonts w:ascii="Open Sans" w:hAnsi="Open Sans"/>
              </w:rPr>
            </w:pPr>
            <w:r w:rsidRPr="006777B4">
              <w:rPr>
                <w:rFonts w:ascii="Open Sans" w:hAnsi="Open Sans"/>
              </w:rPr>
              <w:t>-0.052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250CB1" w14:textId="77777777" w:rsidR="0090622E" w:rsidRPr="006777B4" w:rsidRDefault="0090622E" w:rsidP="004E57F3">
            <w:pPr>
              <w:ind w:left="0" w:hanging="2"/>
              <w:jc w:val="center"/>
              <w:rPr>
                <w:rFonts w:ascii="Open Sans" w:hAnsi="Open Sans"/>
              </w:rPr>
            </w:pPr>
            <w:r w:rsidRPr="006777B4">
              <w:rPr>
                <w:rFonts w:ascii="Open Sans" w:hAnsi="Open Sans"/>
              </w:rPr>
              <w:t>-0.098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64DB4F" w14:textId="77777777" w:rsidR="0090622E" w:rsidRPr="006777B4" w:rsidRDefault="0090622E" w:rsidP="004E57F3">
            <w:pPr>
              <w:ind w:left="0" w:hanging="2"/>
              <w:jc w:val="center"/>
              <w:rPr>
                <w:rFonts w:ascii="Open Sans" w:hAnsi="Open Sans"/>
              </w:rPr>
            </w:pPr>
            <w:r w:rsidRPr="006777B4">
              <w:rPr>
                <w:rFonts w:ascii="Open Sans" w:hAnsi="Open Sans"/>
              </w:rPr>
              <w:t>0.357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3E4CF3" w14:textId="77777777" w:rsidR="0090622E" w:rsidRPr="006777B4" w:rsidRDefault="0090622E" w:rsidP="004E57F3">
            <w:pPr>
              <w:ind w:left="0" w:hanging="2"/>
              <w:jc w:val="center"/>
              <w:rPr>
                <w:rFonts w:ascii="Open Sans" w:hAnsi="Open Sans"/>
              </w:rPr>
            </w:pPr>
            <w:r w:rsidRPr="006777B4">
              <w:rPr>
                <w:rFonts w:ascii="Open Sans" w:hAnsi="Open Sans"/>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391AEBCE" w14:textId="77777777" w:rsidR="0090622E" w:rsidRPr="006777B4" w:rsidRDefault="0090622E" w:rsidP="004E57F3">
            <w:pPr>
              <w:ind w:left="0" w:hanging="2"/>
              <w:jc w:val="center"/>
              <w:rPr>
                <w:rFonts w:ascii="Open Sans" w:hAnsi="Open Sans"/>
              </w:rPr>
            </w:pPr>
          </w:p>
        </w:tc>
      </w:tr>
      <w:tr w:rsidR="0090622E" w:rsidRPr="006777B4" w14:paraId="3B38C3F9" w14:textId="77777777" w:rsidTr="001A5EDD">
        <w:trPr>
          <w:jc w:val="center"/>
        </w:trPr>
        <w:tc>
          <w:tcPr>
            <w:tcW w:w="1340" w:type="dxa"/>
            <w:tcBorders>
              <w:top w:val="single" w:sz="4" w:space="0" w:color="auto"/>
              <w:left w:val="single" w:sz="4" w:space="0" w:color="auto"/>
              <w:bottom w:val="single" w:sz="4" w:space="0" w:color="auto"/>
              <w:right w:val="single" w:sz="4" w:space="0" w:color="auto"/>
            </w:tcBorders>
            <w:vAlign w:val="center"/>
            <w:hideMark/>
          </w:tcPr>
          <w:p w14:paraId="02AF3160" w14:textId="77777777" w:rsidR="0090622E" w:rsidRPr="006777B4" w:rsidRDefault="0090622E" w:rsidP="004E57F3">
            <w:pPr>
              <w:ind w:left="0" w:hanging="2"/>
              <w:jc w:val="center"/>
              <w:rPr>
                <w:rFonts w:ascii="Open Sans" w:hAnsi="Open Sans"/>
              </w:rPr>
            </w:pPr>
            <w:r w:rsidRPr="006777B4">
              <w:rPr>
                <w:rFonts w:ascii="Open Sans" w:hAnsi="Open Sans"/>
              </w:rPr>
              <w:t>ROE</w:t>
            </w:r>
          </w:p>
        </w:tc>
        <w:tc>
          <w:tcPr>
            <w:tcW w:w="787" w:type="dxa"/>
            <w:tcBorders>
              <w:top w:val="single" w:sz="4" w:space="0" w:color="auto"/>
              <w:left w:val="single" w:sz="4" w:space="0" w:color="auto"/>
              <w:bottom w:val="single" w:sz="4" w:space="0" w:color="auto"/>
              <w:right w:val="single" w:sz="4" w:space="0" w:color="auto"/>
            </w:tcBorders>
            <w:vAlign w:val="center"/>
            <w:hideMark/>
          </w:tcPr>
          <w:p w14:paraId="1605EBD2" w14:textId="77777777" w:rsidR="0090622E" w:rsidRPr="006777B4" w:rsidRDefault="0090622E" w:rsidP="004E57F3">
            <w:pPr>
              <w:ind w:left="0" w:hanging="2"/>
              <w:jc w:val="center"/>
              <w:rPr>
                <w:rFonts w:ascii="Open Sans" w:hAnsi="Open Sans"/>
              </w:rPr>
            </w:pPr>
            <w:r w:rsidRPr="006777B4">
              <w:rPr>
                <w:rFonts w:ascii="Open Sans" w:hAnsi="Open Sans"/>
              </w:rPr>
              <w:t>-0.041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3496C1" w14:textId="77777777" w:rsidR="0090622E" w:rsidRPr="006777B4" w:rsidRDefault="0090622E" w:rsidP="004E57F3">
            <w:pPr>
              <w:ind w:left="0" w:hanging="2"/>
              <w:jc w:val="center"/>
              <w:rPr>
                <w:rFonts w:ascii="Open Sans" w:hAnsi="Open Sans"/>
              </w:rPr>
            </w:pPr>
            <w:r w:rsidRPr="006777B4">
              <w:rPr>
                <w:rFonts w:ascii="Open Sans" w:hAnsi="Open Sans"/>
              </w:rPr>
              <w:t>-0.097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885531" w14:textId="77777777" w:rsidR="0090622E" w:rsidRPr="006777B4" w:rsidRDefault="0090622E" w:rsidP="004E57F3">
            <w:pPr>
              <w:ind w:left="0" w:hanging="2"/>
              <w:jc w:val="center"/>
              <w:rPr>
                <w:rFonts w:ascii="Open Sans" w:hAnsi="Open Sans"/>
              </w:rPr>
            </w:pPr>
            <w:r w:rsidRPr="006777B4">
              <w:rPr>
                <w:rFonts w:ascii="Open Sans" w:hAnsi="Open Sans"/>
              </w:rPr>
              <w:t>-0.064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38DBA4" w14:textId="77777777" w:rsidR="0090622E" w:rsidRPr="006777B4" w:rsidRDefault="0090622E" w:rsidP="004E57F3">
            <w:pPr>
              <w:ind w:left="0" w:hanging="2"/>
              <w:jc w:val="center"/>
              <w:rPr>
                <w:rFonts w:ascii="Open Sans" w:hAnsi="Open Sans"/>
              </w:rPr>
            </w:pPr>
            <w:r w:rsidRPr="006777B4">
              <w:rPr>
                <w:rFonts w:ascii="Open Sans" w:hAnsi="Open Sans"/>
              </w:rPr>
              <w:t>0.242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4F0E2D" w14:textId="77777777" w:rsidR="0090622E" w:rsidRPr="006777B4" w:rsidRDefault="0090622E" w:rsidP="004E57F3">
            <w:pPr>
              <w:ind w:left="0" w:hanging="2"/>
              <w:jc w:val="center"/>
              <w:rPr>
                <w:rFonts w:ascii="Open Sans" w:hAnsi="Open Sans"/>
              </w:rPr>
            </w:pPr>
            <w:r w:rsidRPr="006777B4">
              <w:rPr>
                <w:rFonts w:ascii="Open Sans" w:hAnsi="Open Sans"/>
              </w:rPr>
              <w:t>0.938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DFA7E4" w14:textId="77777777" w:rsidR="0090622E" w:rsidRPr="006777B4" w:rsidRDefault="0090622E" w:rsidP="004E57F3">
            <w:pPr>
              <w:ind w:left="0" w:hanging="2"/>
              <w:jc w:val="center"/>
              <w:rPr>
                <w:rFonts w:ascii="Open Sans" w:hAnsi="Open Sans"/>
              </w:rPr>
            </w:pPr>
            <w:r w:rsidRPr="006777B4">
              <w:rPr>
                <w:rFonts w:ascii="Open Sans" w:hAnsi="Open Sans"/>
              </w:rPr>
              <w:t>1.000</w:t>
            </w:r>
          </w:p>
        </w:tc>
      </w:tr>
    </w:tbl>
    <w:p w14:paraId="0BC301C0" w14:textId="77777777" w:rsidR="006777B4" w:rsidRPr="006777B4" w:rsidRDefault="001A5EDD" w:rsidP="006777B4">
      <w:pPr>
        <w:jc w:val="center"/>
        <w:rPr>
          <w:rFonts w:ascii="Open Sans" w:hAnsi="Open Sans"/>
        </w:rPr>
      </w:pPr>
      <w:r w:rsidRPr="006777B4">
        <w:rPr>
          <w:rFonts w:ascii="Open Sans" w:hAnsi="Open Sans"/>
        </w:rPr>
        <w:t>Source: Data processed with Smartpls (2024)</w:t>
      </w:r>
    </w:p>
    <w:p w14:paraId="5326D181" w14:textId="77777777" w:rsidR="00A16D69" w:rsidRPr="006777B4" w:rsidRDefault="00837D53" w:rsidP="006777B4">
      <w:pPr>
        <w:ind w:firstLine="720"/>
        <w:jc w:val="both"/>
        <w:rPr>
          <w:rFonts w:ascii="Open Sans" w:hAnsi="Open Sans"/>
        </w:rPr>
      </w:pPr>
      <w:r>
        <w:rPr>
          <w:rFonts w:ascii="Open Sans" w:hAnsi="Open Sans"/>
          <w:lang w:val="en-US"/>
        </w:rPr>
        <w:t xml:space="preserve">The establishment of discriminant validity is </w:t>
      </w:r>
      <w:proofErr w:type="spellStart"/>
      <w:r>
        <w:rPr>
          <w:rFonts w:ascii="Open Sans" w:hAnsi="Open Sans"/>
          <w:lang w:val="en-US"/>
        </w:rPr>
        <w:t>comfirmed</w:t>
      </w:r>
      <w:proofErr w:type="spellEnd"/>
      <w:r>
        <w:rPr>
          <w:rFonts w:ascii="Open Sans" w:hAnsi="Open Sans"/>
          <w:lang w:val="en-US"/>
        </w:rPr>
        <w:t xml:space="preserve"> by the Fornell-Larcker Criterion table 4. This suggests that there are differences between the constructs in the research. Stated otherwise, each construct’s AVE squared value is greater than its association with an</w:t>
      </w:r>
      <w:r w:rsidR="00EA25AD">
        <w:rPr>
          <w:rFonts w:ascii="Open Sans" w:hAnsi="Open Sans"/>
          <w:lang w:val="en-US"/>
        </w:rPr>
        <w:t>y other construct in the table.</w:t>
      </w:r>
    </w:p>
    <w:p w14:paraId="134028E5" w14:textId="77777777" w:rsidR="0090622E" w:rsidRPr="006777B4" w:rsidRDefault="0090622E" w:rsidP="0090622E">
      <w:pPr>
        <w:jc w:val="both"/>
        <w:rPr>
          <w:rFonts w:ascii="Open Sans" w:hAnsi="Open Sans"/>
          <w:b/>
          <w:lang w:val="en-US"/>
        </w:rPr>
      </w:pPr>
      <w:r w:rsidRPr="006777B4">
        <w:rPr>
          <w:rFonts w:ascii="Open Sans" w:hAnsi="Open Sans"/>
          <w:b/>
        </w:rPr>
        <w:t>Reliabilitas</w:t>
      </w:r>
    </w:p>
    <w:p w14:paraId="1F6D834E" w14:textId="77777777" w:rsidR="0090622E" w:rsidRPr="006777B4" w:rsidRDefault="00A16D69" w:rsidP="0090622E">
      <w:pPr>
        <w:jc w:val="center"/>
        <w:rPr>
          <w:rFonts w:ascii="Open Sans" w:hAnsi="Open Sans"/>
          <w:b/>
        </w:rPr>
      </w:pPr>
      <w:r w:rsidRPr="006777B4">
        <w:rPr>
          <w:rFonts w:ascii="Open Sans" w:hAnsi="Open Sans"/>
          <w:b/>
        </w:rPr>
        <w:t>Table 5. Results of Cronbach's Alpha and Composite Reliability</w:t>
      </w:r>
    </w:p>
    <w:tbl>
      <w:tblPr>
        <w:tblStyle w:val="TableGrid"/>
        <w:tblW w:w="6805" w:type="dxa"/>
        <w:jc w:val="center"/>
        <w:tblInd w:w="0" w:type="dxa"/>
        <w:tblLook w:val="04A0" w:firstRow="1" w:lastRow="0" w:firstColumn="1" w:lastColumn="0" w:noHBand="0" w:noVBand="1"/>
      </w:tblPr>
      <w:tblGrid>
        <w:gridCol w:w="2835"/>
        <w:gridCol w:w="1985"/>
        <w:gridCol w:w="1985"/>
      </w:tblGrid>
      <w:tr w:rsidR="0090622E" w:rsidRPr="006777B4" w14:paraId="12B3CA2F" w14:textId="77777777" w:rsidTr="004E57F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752FDF5" w14:textId="77777777" w:rsidR="0090622E" w:rsidRPr="006777B4" w:rsidRDefault="0090622E" w:rsidP="004E57F3">
            <w:pPr>
              <w:ind w:left="0" w:hanging="2"/>
              <w:jc w:val="center"/>
              <w:rPr>
                <w:rFonts w:ascii="Open Sans" w:hAnsi="Open Sans"/>
              </w:rPr>
            </w:pPr>
            <w:r w:rsidRPr="006777B4">
              <w:rPr>
                <w:rFonts w:ascii="Open Sans" w:hAnsi="Open Sans"/>
              </w:rPr>
              <w:t>Variabel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E589CD" w14:textId="77777777" w:rsidR="0090622E" w:rsidRPr="006777B4" w:rsidRDefault="0090622E" w:rsidP="004E57F3">
            <w:pPr>
              <w:ind w:left="0" w:hanging="2"/>
              <w:jc w:val="center"/>
              <w:rPr>
                <w:rFonts w:ascii="Open Sans" w:hAnsi="Open Sans"/>
              </w:rPr>
            </w:pPr>
            <w:r w:rsidRPr="006777B4">
              <w:rPr>
                <w:rFonts w:ascii="Open Sans" w:hAnsi="Open Sans"/>
              </w:rPr>
              <w:t>Cronbach’s Alpha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E46998" w14:textId="77777777" w:rsidR="0090622E" w:rsidRPr="006777B4" w:rsidRDefault="0090622E" w:rsidP="004E57F3">
            <w:pPr>
              <w:ind w:left="0" w:hanging="2"/>
              <w:jc w:val="center"/>
              <w:rPr>
                <w:rFonts w:ascii="Open Sans" w:hAnsi="Open Sans"/>
              </w:rPr>
            </w:pPr>
            <w:r w:rsidRPr="006777B4">
              <w:rPr>
                <w:rFonts w:ascii="Open Sans" w:hAnsi="Open Sans"/>
              </w:rPr>
              <w:t>Composite Reliability</w:t>
            </w:r>
          </w:p>
        </w:tc>
      </w:tr>
      <w:tr w:rsidR="0090622E" w:rsidRPr="006777B4" w14:paraId="57B74F50" w14:textId="77777777" w:rsidTr="004E57F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6601803" w14:textId="77777777" w:rsidR="0090622E" w:rsidRPr="006777B4" w:rsidRDefault="0090622E" w:rsidP="004E57F3">
            <w:pPr>
              <w:ind w:left="0" w:hanging="2"/>
              <w:jc w:val="center"/>
              <w:rPr>
                <w:rFonts w:ascii="Open Sans" w:hAnsi="Open Sans"/>
              </w:rPr>
            </w:pPr>
            <w:r w:rsidRPr="006777B4">
              <w:rPr>
                <w:rFonts w:ascii="Open Sans" w:hAnsi="Open Sans"/>
              </w:rPr>
              <w:t>CSR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85E1A2" w14:textId="77777777" w:rsidR="0090622E" w:rsidRPr="006777B4" w:rsidRDefault="0090622E" w:rsidP="004E57F3">
            <w:pPr>
              <w:ind w:left="0" w:hanging="2"/>
              <w:jc w:val="center"/>
              <w:rPr>
                <w:rFonts w:ascii="Open Sans" w:hAnsi="Open Sans"/>
              </w:rPr>
            </w:pPr>
            <w:r w:rsidRPr="006777B4">
              <w:rPr>
                <w:rFonts w:ascii="Open Sans" w:hAnsi="Open Sans"/>
              </w:rPr>
              <w:t>1.000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2E0D0B" w14:textId="77777777" w:rsidR="0090622E" w:rsidRPr="006777B4" w:rsidRDefault="0090622E" w:rsidP="004E57F3">
            <w:pPr>
              <w:ind w:left="0" w:hanging="2"/>
              <w:jc w:val="center"/>
              <w:rPr>
                <w:rFonts w:ascii="Open Sans" w:hAnsi="Open Sans"/>
              </w:rPr>
            </w:pPr>
            <w:r w:rsidRPr="006777B4">
              <w:rPr>
                <w:rFonts w:ascii="Open Sans" w:hAnsi="Open Sans"/>
              </w:rPr>
              <w:t>1.000</w:t>
            </w:r>
          </w:p>
        </w:tc>
      </w:tr>
      <w:tr w:rsidR="0090622E" w:rsidRPr="006777B4" w14:paraId="4F04321B" w14:textId="77777777" w:rsidTr="004E57F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E6A949E" w14:textId="77777777" w:rsidR="0090622E" w:rsidRPr="006777B4" w:rsidRDefault="0090622E" w:rsidP="004E57F3">
            <w:pPr>
              <w:ind w:left="0" w:hanging="2"/>
              <w:jc w:val="center"/>
              <w:rPr>
                <w:rFonts w:ascii="Open Sans" w:hAnsi="Open Sans"/>
              </w:rPr>
            </w:pPr>
            <w:r w:rsidRPr="006777B4">
              <w:rPr>
                <w:rFonts w:ascii="Open Sans" w:hAnsi="Open Sans"/>
              </w:rPr>
              <w:t>ROA*CSR (moderating 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D44219" w14:textId="77777777" w:rsidR="0090622E" w:rsidRPr="006777B4" w:rsidRDefault="0090622E" w:rsidP="004E57F3">
            <w:pPr>
              <w:ind w:left="0" w:hanging="2"/>
              <w:jc w:val="center"/>
              <w:rPr>
                <w:rFonts w:ascii="Open Sans" w:hAnsi="Open Sans"/>
              </w:rPr>
            </w:pPr>
            <w:r w:rsidRPr="006777B4">
              <w:rPr>
                <w:rFonts w:ascii="Open Sans" w:hAnsi="Open Sans"/>
              </w:rPr>
              <w:t>1.000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F8849B" w14:textId="77777777" w:rsidR="0090622E" w:rsidRPr="006777B4" w:rsidRDefault="0090622E" w:rsidP="004E57F3">
            <w:pPr>
              <w:ind w:left="0" w:hanging="2"/>
              <w:jc w:val="center"/>
              <w:rPr>
                <w:rFonts w:ascii="Open Sans" w:hAnsi="Open Sans"/>
              </w:rPr>
            </w:pPr>
            <w:r w:rsidRPr="006777B4">
              <w:rPr>
                <w:rFonts w:ascii="Open Sans" w:hAnsi="Open Sans"/>
              </w:rPr>
              <w:t>1.000</w:t>
            </w:r>
          </w:p>
        </w:tc>
      </w:tr>
      <w:tr w:rsidR="0090622E" w:rsidRPr="006777B4" w14:paraId="6CCF6E4D" w14:textId="77777777" w:rsidTr="004E57F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6F032320" w14:textId="77777777" w:rsidR="0090622E" w:rsidRPr="006777B4" w:rsidRDefault="0090622E" w:rsidP="004E57F3">
            <w:pPr>
              <w:ind w:left="0" w:hanging="2"/>
              <w:jc w:val="center"/>
              <w:rPr>
                <w:rFonts w:ascii="Open Sans" w:hAnsi="Open Sans"/>
              </w:rPr>
            </w:pPr>
            <w:r w:rsidRPr="006777B4">
              <w:rPr>
                <w:rFonts w:ascii="Open Sans" w:hAnsi="Open Sans"/>
              </w:rPr>
              <w:t>ROE*CSR (moderating 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67835A" w14:textId="77777777" w:rsidR="0090622E" w:rsidRPr="006777B4" w:rsidRDefault="0090622E" w:rsidP="004E57F3">
            <w:pPr>
              <w:ind w:left="0" w:hanging="2"/>
              <w:jc w:val="center"/>
              <w:rPr>
                <w:rFonts w:ascii="Open Sans" w:hAnsi="Open Sans"/>
              </w:rPr>
            </w:pPr>
            <w:r w:rsidRPr="006777B4">
              <w:rPr>
                <w:rFonts w:ascii="Open Sans" w:hAnsi="Open Sans"/>
              </w:rPr>
              <w:t>1.000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26EFEF" w14:textId="77777777" w:rsidR="0090622E" w:rsidRPr="006777B4" w:rsidRDefault="0090622E" w:rsidP="004E57F3">
            <w:pPr>
              <w:ind w:left="0" w:hanging="2"/>
              <w:jc w:val="center"/>
              <w:rPr>
                <w:rFonts w:ascii="Open Sans" w:hAnsi="Open Sans"/>
              </w:rPr>
            </w:pPr>
            <w:r w:rsidRPr="006777B4">
              <w:rPr>
                <w:rFonts w:ascii="Open Sans" w:hAnsi="Open Sans"/>
              </w:rPr>
              <w:t>1.000</w:t>
            </w:r>
          </w:p>
        </w:tc>
      </w:tr>
      <w:tr w:rsidR="0090622E" w:rsidRPr="006777B4" w14:paraId="0B061F9C" w14:textId="77777777" w:rsidTr="004E57F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6CC76EF0" w14:textId="77777777" w:rsidR="0090622E" w:rsidRPr="006777B4" w:rsidRDefault="0090622E" w:rsidP="004E57F3">
            <w:pPr>
              <w:ind w:left="0" w:hanging="2"/>
              <w:jc w:val="center"/>
              <w:rPr>
                <w:rFonts w:ascii="Open Sans" w:hAnsi="Open Sans"/>
              </w:rPr>
            </w:pPr>
            <w:r w:rsidRPr="006777B4">
              <w:rPr>
                <w:rFonts w:ascii="Open Sans" w:hAnsi="Open Sans"/>
              </w:rPr>
              <w:lastRenderedPageBreak/>
              <w:t>Nilai Perusahaan (PBV)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9F7EDD7" w14:textId="77777777" w:rsidR="0090622E" w:rsidRPr="006777B4" w:rsidRDefault="0090622E" w:rsidP="004E57F3">
            <w:pPr>
              <w:ind w:left="0" w:hanging="2"/>
              <w:jc w:val="center"/>
              <w:rPr>
                <w:rFonts w:ascii="Open Sans" w:hAnsi="Open Sans"/>
              </w:rPr>
            </w:pPr>
            <w:r w:rsidRPr="006777B4">
              <w:rPr>
                <w:rFonts w:ascii="Open Sans" w:hAnsi="Open Sans"/>
              </w:rPr>
              <w:t>1.000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6C264C" w14:textId="77777777" w:rsidR="0090622E" w:rsidRPr="006777B4" w:rsidRDefault="0090622E" w:rsidP="004E57F3">
            <w:pPr>
              <w:ind w:left="0" w:hanging="2"/>
              <w:jc w:val="center"/>
              <w:rPr>
                <w:rFonts w:ascii="Open Sans" w:hAnsi="Open Sans"/>
              </w:rPr>
            </w:pPr>
            <w:r w:rsidRPr="006777B4">
              <w:rPr>
                <w:rFonts w:ascii="Open Sans" w:hAnsi="Open Sans"/>
              </w:rPr>
              <w:t>1.000</w:t>
            </w:r>
          </w:p>
        </w:tc>
      </w:tr>
      <w:tr w:rsidR="0090622E" w:rsidRPr="006777B4" w14:paraId="75C13AD7" w14:textId="77777777" w:rsidTr="004E57F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4F749AA" w14:textId="77777777" w:rsidR="0090622E" w:rsidRPr="006777B4" w:rsidRDefault="0090622E" w:rsidP="004E57F3">
            <w:pPr>
              <w:ind w:left="0" w:hanging="2"/>
              <w:jc w:val="center"/>
              <w:rPr>
                <w:rFonts w:ascii="Open Sans" w:hAnsi="Open Sans"/>
              </w:rPr>
            </w:pPr>
            <w:r w:rsidRPr="006777B4">
              <w:rPr>
                <w:rFonts w:ascii="Open Sans" w:hAnsi="Open Sans"/>
              </w:rPr>
              <w:t>ROA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DD1B5C2" w14:textId="77777777" w:rsidR="0090622E" w:rsidRPr="006777B4" w:rsidRDefault="0090622E" w:rsidP="004E57F3">
            <w:pPr>
              <w:ind w:left="0" w:hanging="2"/>
              <w:jc w:val="center"/>
              <w:rPr>
                <w:rFonts w:ascii="Open Sans" w:hAnsi="Open Sans"/>
              </w:rPr>
            </w:pPr>
            <w:r w:rsidRPr="006777B4">
              <w:rPr>
                <w:rFonts w:ascii="Open Sans" w:hAnsi="Open Sans"/>
              </w:rPr>
              <w:t>1.000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369365" w14:textId="77777777" w:rsidR="0090622E" w:rsidRPr="006777B4" w:rsidRDefault="0090622E" w:rsidP="004E57F3">
            <w:pPr>
              <w:ind w:left="0" w:hanging="2"/>
              <w:jc w:val="center"/>
              <w:rPr>
                <w:rFonts w:ascii="Open Sans" w:hAnsi="Open Sans"/>
              </w:rPr>
            </w:pPr>
            <w:r w:rsidRPr="006777B4">
              <w:rPr>
                <w:rFonts w:ascii="Open Sans" w:hAnsi="Open Sans"/>
              </w:rPr>
              <w:t>1.000</w:t>
            </w:r>
          </w:p>
        </w:tc>
      </w:tr>
      <w:tr w:rsidR="0090622E" w:rsidRPr="006777B4" w14:paraId="665FE141" w14:textId="77777777" w:rsidTr="004E57F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0FB504E" w14:textId="77777777" w:rsidR="0090622E" w:rsidRPr="006777B4" w:rsidRDefault="0090622E" w:rsidP="004E57F3">
            <w:pPr>
              <w:ind w:left="0" w:hanging="2"/>
              <w:jc w:val="center"/>
              <w:rPr>
                <w:rFonts w:ascii="Open Sans" w:hAnsi="Open Sans"/>
              </w:rPr>
            </w:pPr>
            <w:r w:rsidRPr="006777B4">
              <w:rPr>
                <w:rFonts w:ascii="Open Sans" w:hAnsi="Open Sans"/>
              </w:rPr>
              <w:t>ROE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44801A" w14:textId="77777777" w:rsidR="0090622E" w:rsidRPr="006777B4" w:rsidRDefault="0090622E" w:rsidP="004E57F3">
            <w:pPr>
              <w:ind w:left="0" w:hanging="2"/>
              <w:jc w:val="center"/>
              <w:rPr>
                <w:rFonts w:ascii="Open Sans" w:hAnsi="Open Sans"/>
              </w:rPr>
            </w:pPr>
            <w:r w:rsidRPr="006777B4">
              <w:rPr>
                <w:rFonts w:ascii="Open Sans" w:hAnsi="Open Sans"/>
              </w:rPr>
              <w:t>1.000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F32F07" w14:textId="77777777" w:rsidR="0090622E" w:rsidRPr="006777B4" w:rsidRDefault="0090622E" w:rsidP="004E57F3">
            <w:pPr>
              <w:ind w:left="0" w:hanging="2"/>
              <w:jc w:val="center"/>
              <w:rPr>
                <w:rFonts w:ascii="Open Sans" w:hAnsi="Open Sans"/>
              </w:rPr>
            </w:pPr>
            <w:r w:rsidRPr="006777B4">
              <w:rPr>
                <w:rFonts w:ascii="Open Sans" w:hAnsi="Open Sans"/>
              </w:rPr>
              <w:t>1.000</w:t>
            </w:r>
          </w:p>
        </w:tc>
      </w:tr>
    </w:tbl>
    <w:p w14:paraId="07515FEC" w14:textId="77777777" w:rsidR="0090622E" w:rsidRPr="006777B4" w:rsidRDefault="001A5EDD" w:rsidP="001A5EDD">
      <w:pPr>
        <w:jc w:val="center"/>
        <w:rPr>
          <w:rFonts w:ascii="Open Sans" w:hAnsi="Open Sans"/>
        </w:rPr>
      </w:pPr>
      <w:r w:rsidRPr="006777B4">
        <w:rPr>
          <w:rFonts w:ascii="Open Sans" w:hAnsi="Open Sans"/>
        </w:rPr>
        <w:t>Source: Data processed with Smartpls (2024)</w:t>
      </w:r>
    </w:p>
    <w:p w14:paraId="57D98406" w14:textId="77777777" w:rsidR="0090622E" w:rsidRPr="006777B4" w:rsidRDefault="00EA25AD" w:rsidP="006777B4">
      <w:pPr>
        <w:ind w:firstLine="720"/>
        <w:jc w:val="both"/>
        <w:rPr>
          <w:rFonts w:ascii="Open Sans" w:hAnsi="Open Sans"/>
        </w:rPr>
      </w:pPr>
      <w:r>
        <w:rPr>
          <w:rFonts w:ascii="Open Sans" w:hAnsi="Open Sans"/>
          <w:lang w:val="en-US"/>
        </w:rPr>
        <w:t xml:space="preserve">Based on analysis, </w:t>
      </w:r>
      <w:proofErr w:type="spellStart"/>
      <w:r>
        <w:rPr>
          <w:rFonts w:ascii="Open Sans" w:hAnsi="Open Sans"/>
          <w:lang w:val="en-US"/>
        </w:rPr>
        <w:t>allresearch</w:t>
      </w:r>
      <w:proofErr w:type="spellEnd"/>
      <w:r>
        <w:rPr>
          <w:rFonts w:ascii="Open Sans" w:hAnsi="Open Sans"/>
          <w:lang w:val="en-US"/>
        </w:rPr>
        <w:t xml:space="preserve"> variables showed “Composite Reliability” and “Cronbach’s Alpha” value more than 0.70. this implies a high level of consistency and reliability for each variable. </w:t>
      </w:r>
    </w:p>
    <w:p w14:paraId="4EAAC939" w14:textId="77777777" w:rsidR="006777B4" w:rsidRPr="006777B4" w:rsidRDefault="006777B4" w:rsidP="006777B4">
      <w:pPr>
        <w:ind w:firstLine="720"/>
        <w:jc w:val="both"/>
        <w:rPr>
          <w:rFonts w:ascii="Open Sans" w:hAnsi="Open Sans"/>
        </w:rPr>
      </w:pPr>
    </w:p>
    <w:p w14:paraId="08F670E5" w14:textId="77777777" w:rsidR="0090622E" w:rsidRPr="006777B4" w:rsidRDefault="00A16D69" w:rsidP="0090622E">
      <w:pPr>
        <w:jc w:val="both"/>
        <w:rPr>
          <w:rFonts w:ascii="Open Sans" w:hAnsi="Open Sans"/>
          <w:b/>
        </w:rPr>
      </w:pPr>
      <w:bookmarkStart w:id="4" w:name="_Toc163205501"/>
      <w:r w:rsidRPr="006777B4">
        <w:rPr>
          <w:rFonts w:ascii="Open Sans" w:hAnsi="Open Sans"/>
          <w:b/>
        </w:rPr>
        <w:t>Results of Structural Model Analysis (Inner Model</w:t>
      </w:r>
      <w:r w:rsidR="0090622E" w:rsidRPr="006777B4">
        <w:rPr>
          <w:rFonts w:ascii="Open Sans" w:hAnsi="Open Sans"/>
          <w:b/>
        </w:rPr>
        <w:t>)</w:t>
      </w:r>
      <w:bookmarkEnd w:id="4"/>
    </w:p>
    <w:p w14:paraId="7155A4DB" w14:textId="77777777" w:rsidR="006777B4" w:rsidRPr="006777B4" w:rsidRDefault="0090622E" w:rsidP="006777B4">
      <w:pPr>
        <w:jc w:val="both"/>
        <w:rPr>
          <w:rFonts w:ascii="Open Sans" w:hAnsi="Open Sans"/>
          <w:b/>
        </w:rPr>
      </w:pPr>
      <w:r w:rsidRPr="006777B4">
        <w:rPr>
          <w:rFonts w:ascii="Open Sans" w:hAnsi="Open Sans"/>
          <w:b/>
        </w:rPr>
        <w:t xml:space="preserve">R-Square </w:t>
      </w:r>
    </w:p>
    <w:p w14:paraId="7DA25114" w14:textId="77777777" w:rsidR="006777B4" w:rsidRPr="00EA25AD" w:rsidRDefault="006777B4" w:rsidP="00CC2844">
      <w:pPr>
        <w:ind w:firstLine="720"/>
        <w:jc w:val="both"/>
        <w:rPr>
          <w:rFonts w:ascii="Open Sans" w:hAnsi="Open Sans"/>
          <w:lang w:val="en-US"/>
        </w:rPr>
      </w:pPr>
      <w:r w:rsidRPr="006777B4">
        <w:rPr>
          <w:rFonts w:ascii="Open Sans" w:hAnsi="Open Sans"/>
        </w:rPr>
        <w:t xml:space="preserve">R-squared is a statistic that </w:t>
      </w:r>
      <w:r w:rsidR="00EA25AD">
        <w:rPr>
          <w:rFonts w:ascii="Open Sans" w:hAnsi="Open Sans"/>
          <w:lang w:val="en-US"/>
        </w:rPr>
        <w:t>illustrates the extent to which the profitability metrics (return on equity and return on assets, the independent variables) looked at in this research can account for the change in a company’s value (the dependent variable). An R-Square of 0.75 is often regarded as strong, 0.50 as moderate, and 0.25 as weak.</w:t>
      </w:r>
    </w:p>
    <w:p w14:paraId="570D5F48" w14:textId="77777777" w:rsidR="0090622E" w:rsidRPr="006777B4" w:rsidRDefault="00A16D69" w:rsidP="006777B4">
      <w:pPr>
        <w:jc w:val="center"/>
        <w:rPr>
          <w:rFonts w:ascii="Open Sans" w:hAnsi="Open Sans"/>
          <w:b/>
        </w:rPr>
      </w:pPr>
      <w:r w:rsidRPr="006777B4">
        <w:rPr>
          <w:rFonts w:ascii="Open Sans" w:hAnsi="Open Sans"/>
          <w:b/>
        </w:rPr>
        <w:t>Table 6. R-Square Results</w:t>
      </w:r>
    </w:p>
    <w:tbl>
      <w:tblPr>
        <w:tblStyle w:val="TableGrid"/>
        <w:tblW w:w="0" w:type="auto"/>
        <w:jc w:val="center"/>
        <w:tblInd w:w="0" w:type="dxa"/>
        <w:tblLook w:val="04A0" w:firstRow="1" w:lastRow="0" w:firstColumn="1" w:lastColumn="0" w:noHBand="0" w:noVBand="1"/>
      </w:tblPr>
      <w:tblGrid>
        <w:gridCol w:w="1562"/>
        <w:gridCol w:w="1415"/>
        <w:gridCol w:w="2126"/>
      </w:tblGrid>
      <w:tr w:rsidR="0090622E" w:rsidRPr="006777B4" w14:paraId="18A663EE" w14:textId="77777777" w:rsidTr="00EA75E8">
        <w:trPr>
          <w:jc w:val="center"/>
        </w:trPr>
        <w:tc>
          <w:tcPr>
            <w:tcW w:w="1562" w:type="dxa"/>
            <w:tcBorders>
              <w:top w:val="single" w:sz="4" w:space="0" w:color="auto"/>
              <w:left w:val="single" w:sz="4" w:space="0" w:color="auto"/>
              <w:bottom w:val="single" w:sz="4" w:space="0" w:color="auto"/>
              <w:right w:val="single" w:sz="4" w:space="0" w:color="auto"/>
            </w:tcBorders>
            <w:vAlign w:val="center"/>
          </w:tcPr>
          <w:p w14:paraId="370D201A" w14:textId="77777777" w:rsidR="0090622E" w:rsidRPr="006777B4" w:rsidRDefault="0090622E" w:rsidP="00EA75E8">
            <w:pPr>
              <w:ind w:left="0" w:hanging="2"/>
              <w:jc w:val="center"/>
              <w:rPr>
                <w:rFonts w:ascii="Open Sans" w:hAnsi="Open Sans"/>
              </w:rPr>
            </w:pPr>
          </w:p>
        </w:tc>
        <w:tc>
          <w:tcPr>
            <w:tcW w:w="1415" w:type="dxa"/>
            <w:tcBorders>
              <w:top w:val="single" w:sz="4" w:space="0" w:color="auto"/>
              <w:left w:val="single" w:sz="4" w:space="0" w:color="auto"/>
              <w:bottom w:val="single" w:sz="4" w:space="0" w:color="auto"/>
              <w:right w:val="single" w:sz="4" w:space="0" w:color="auto"/>
            </w:tcBorders>
            <w:vAlign w:val="center"/>
            <w:hideMark/>
          </w:tcPr>
          <w:p w14:paraId="0D956236" w14:textId="77777777" w:rsidR="0090622E" w:rsidRPr="006777B4" w:rsidRDefault="0090622E" w:rsidP="00EA75E8">
            <w:pPr>
              <w:ind w:left="0" w:hanging="2"/>
              <w:jc w:val="center"/>
              <w:rPr>
                <w:rFonts w:ascii="Open Sans" w:hAnsi="Open Sans"/>
              </w:rPr>
            </w:pPr>
            <w:r w:rsidRPr="006777B4">
              <w:rPr>
                <w:rFonts w:ascii="Open Sans" w:hAnsi="Open Sans"/>
              </w:rPr>
              <w:t>R-Square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E56026" w14:textId="77777777" w:rsidR="0090622E" w:rsidRPr="006777B4" w:rsidRDefault="0090622E" w:rsidP="00EA75E8">
            <w:pPr>
              <w:ind w:left="0" w:hanging="2"/>
              <w:jc w:val="center"/>
              <w:rPr>
                <w:rFonts w:ascii="Open Sans" w:hAnsi="Open Sans"/>
              </w:rPr>
            </w:pPr>
            <w:r w:rsidRPr="006777B4">
              <w:rPr>
                <w:rFonts w:ascii="Open Sans" w:hAnsi="Open Sans"/>
              </w:rPr>
              <w:t>R-Square Adjusted</w:t>
            </w:r>
          </w:p>
        </w:tc>
      </w:tr>
      <w:tr w:rsidR="0090622E" w:rsidRPr="006777B4" w14:paraId="49EAEC66" w14:textId="77777777" w:rsidTr="00EA75E8">
        <w:trPr>
          <w:jc w:val="center"/>
        </w:trPr>
        <w:tc>
          <w:tcPr>
            <w:tcW w:w="1562" w:type="dxa"/>
            <w:tcBorders>
              <w:top w:val="single" w:sz="4" w:space="0" w:color="auto"/>
              <w:left w:val="single" w:sz="4" w:space="0" w:color="auto"/>
              <w:bottom w:val="single" w:sz="4" w:space="0" w:color="auto"/>
              <w:right w:val="single" w:sz="4" w:space="0" w:color="auto"/>
            </w:tcBorders>
            <w:vAlign w:val="center"/>
            <w:hideMark/>
          </w:tcPr>
          <w:p w14:paraId="425457EF" w14:textId="77777777" w:rsidR="0090622E" w:rsidRPr="006777B4" w:rsidRDefault="0090622E" w:rsidP="00EA75E8">
            <w:pPr>
              <w:ind w:left="0" w:hanging="2"/>
              <w:jc w:val="center"/>
              <w:rPr>
                <w:rFonts w:ascii="Open Sans" w:hAnsi="Open Sans"/>
              </w:rPr>
            </w:pPr>
            <w:r w:rsidRPr="006777B4">
              <w:rPr>
                <w:rFonts w:ascii="Open Sans" w:hAnsi="Open Sans"/>
              </w:rPr>
              <w:t>PBV</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8BE47B0" w14:textId="77777777" w:rsidR="0090622E" w:rsidRPr="006777B4" w:rsidRDefault="0090622E" w:rsidP="00EA75E8">
            <w:pPr>
              <w:ind w:left="0" w:hanging="2"/>
              <w:jc w:val="center"/>
              <w:rPr>
                <w:rFonts w:ascii="Open Sans" w:hAnsi="Open Sans"/>
              </w:rPr>
            </w:pPr>
            <w:r w:rsidRPr="006777B4">
              <w:rPr>
                <w:rFonts w:ascii="Open Sans" w:hAnsi="Open Sans"/>
              </w:rPr>
              <w:t>0.244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D0F8EF" w14:textId="77777777" w:rsidR="0090622E" w:rsidRPr="006777B4" w:rsidRDefault="0090622E" w:rsidP="00EA75E8">
            <w:pPr>
              <w:ind w:left="0" w:hanging="2"/>
              <w:jc w:val="center"/>
              <w:rPr>
                <w:rFonts w:ascii="Open Sans" w:hAnsi="Open Sans"/>
              </w:rPr>
            </w:pPr>
            <w:r w:rsidRPr="006777B4">
              <w:rPr>
                <w:rFonts w:ascii="Open Sans" w:hAnsi="Open Sans"/>
              </w:rPr>
              <w:t>0.220</w:t>
            </w:r>
          </w:p>
        </w:tc>
      </w:tr>
    </w:tbl>
    <w:p w14:paraId="547BDD65" w14:textId="77777777" w:rsidR="006777B4" w:rsidRPr="006777B4" w:rsidRDefault="001A5EDD" w:rsidP="006777B4">
      <w:pPr>
        <w:jc w:val="center"/>
        <w:rPr>
          <w:rFonts w:ascii="Open Sans" w:hAnsi="Open Sans"/>
        </w:rPr>
      </w:pPr>
      <w:r w:rsidRPr="006777B4">
        <w:rPr>
          <w:rFonts w:ascii="Open Sans" w:hAnsi="Open Sans"/>
        </w:rPr>
        <w:t>Source: Data processed with Smartpls (2024)</w:t>
      </w:r>
    </w:p>
    <w:p w14:paraId="2EE94B73" w14:textId="77777777" w:rsidR="006777B4" w:rsidRPr="006777B4" w:rsidRDefault="00EA25AD" w:rsidP="006777B4">
      <w:pPr>
        <w:ind w:firstLine="720"/>
        <w:jc w:val="both"/>
        <w:rPr>
          <w:rFonts w:ascii="Open Sans" w:hAnsi="Open Sans"/>
        </w:rPr>
      </w:pPr>
      <w:r>
        <w:rPr>
          <w:rFonts w:ascii="Open Sans" w:hAnsi="Open Sans"/>
          <w:lang w:val="en-US"/>
        </w:rPr>
        <w:t>The study yielded an R-Squared value of 0.220, meaning that only 222% of the variance in firm value can be explained by profitability metrics. The remaining 78% most likely result from other variables that this research did not take into account.</w:t>
      </w:r>
    </w:p>
    <w:p w14:paraId="470059DC" w14:textId="77777777" w:rsidR="0090622E" w:rsidRPr="006777B4" w:rsidRDefault="0090622E" w:rsidP="0090622E">
      <w:pPr>
        <w:jc w:val="both"/>
        <w:rPr>
          <w:rFonts w:ascii="Open Sans" w:hAnsi="Open Sans"/>
          <w:b/>
        </w:rPr>
      </w:pPr>
      <w:r w:rsidRPr="006777B4">
        <w:rPr>
          <w:rFonts w:ascii="Open Sans" w:hAnsi="Open Sans"/>
          <w:b/>
        </w:rPr>
        <w:t>Path Analysis</w:t>
      </w:r>
    </w:p>
    <w:p w14:paraId="73843A04" w14:textId="77777777" w:rsidR="0090622E" w:rsidRPr="006777B4" w:rsidRDefault="0090622E" w:rsidP="0090622E">
      <w:pPr>
        <w:jc w:val="center"/>
        <w:rPr>
          <w:rFonts w:ascii="Open Sans" w:hAnsi="Open Sans"/>
        </w:rPr>
      </w:pPr>
      <w:r w:rsidRPr="006777B4">
        <w:rPr>
          <w:rFonts w:ascii="Open Sans" w:hAnsi="Open Sans"/>
          <w:noProof/>
          <w:lang w:val="en-US"/>
        </w:rPr>
        <w:drawing>
          <wp:inline distT="0" distB="0" distL="0" distR="0" wp14:anchorId="3382511E" wp14:editId="296EBD0C">
            <wp:extent cx="3609975" cy="28053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l="31500" t="17023" r="13664" b="7074"/>
                    <a:stretch>
                      <a:fillRect/>
                    </a:stretch>
                  </pic:blipFill>
                  <pic:spPr bwMode="auto">
                    <a:xfrm>
                      <a:off x="0" y="0"/>
                      <a:ext cx="3612249" cy="2807109"/>
                    </a:xfrm>
                    <a:prstGeom prst="rect">
                      <a:avLst/>
                    </a:prstGeom>
                    <a:noFill/>
                    <a:ln>
                      <a:noFill/>
                    </a:ln>
                  </pic:spPr>
                </pic:pic>
              </a:graphicData>
            </a:graphic>
          </wp:inline>
        </w:drawing>
      </w:r>
    </w:p>
    <w:p w14:paraId="32B29747" w14:textId="77777777" w:rsidR="0090622E" w:rsidRPr="006777B4" w:rsidRDefault="00A16D69" w:rsidP="00A16D69">
      <w:pPr>
        <w:jc w:val="center"/>
        <w:rPr>
          <w:rFonts w:ascii="Open Sans" w:hAnsi="Open Sans"/>
          <w:b/>
        </w:rPr>
      </w:pPr>
      <w:r w:rsidRPr="006777B4">
        <w:rPr>
          <w:rFonts w:ascii="Open Sans" w:hAnsi="Open Sans"/>
          <w:b/>
        </w:rPr>
        <w:t>Figure 1. Bootstrapping results</w:t>
      </w:r>
    </w:p>
    <w:p w14:paraId="086240F5" w14:textId="77777777" w:rsidR="00A16D69" w:rsidRPr="006777B4" w:rsidRDefault="00A16D69" w:rsidP="00A16D69">
      <w:pPr>
        <w:jc w:val="center"/>
        <w:rPr>
          <w:rFonts w:ascii="Open Sans" w:hAnsi="Open Sans"/>
        </w:rPr>
      </w:pPr>
    </w:p>
    <w:p w14:paraId="3C62B964" w14:textId="77777777" w:rsidR="00A16D69" w:rsidRPr="006777B4" w:rsidRDefault="00A16D69" w:rsidP="0090622E">
      <w:pPr>
        <w:jc w:val="both"/>
        <w:rPr>
          <w:rFonts w:ascii="Open Sans" w:hAnsi="Open Sans"/>
        </w:rPr>
      </w:pPr>
    </w:p>
    <w:p w14:paraId="326F089F" w14:textId="77777777" w:rsidR="004C597F" w:rsidRPr="006777B4" w:rsidRDefault="00B62F3F" w:rsidP="0090622E">
      <w:pPr>
        <w:jc w:val="both"/>
        <w:rPr>
          <w:rFonts w:ascii="Open Sans" w:hAnsi="Open Sans"/>
          <w:b/>
          <w:lang w:val="en-US"/>
        </w:rPr>
      </w:pPr>
      <w:r w:rsidRPr="006777B4">
        <w:rPr>
          <w:rFonts w:ascii="Open Sans" w:hAnsi="Open Sans"/>
          <w:b/>
          <w:lang w:val="en-US"/>
        </w:rPr>
        <w:t>Hypothesis Testing</w:t>
      </w:r>
    </w:p>
    <w:p w14:paraId="68AA86B0" w14:textId="77777777" w:rsidR="006777B4" w:rsidRPr="00763ADC" w:rsidRDefault="00763ADC" w:rsidP="00ED3766">
      <w:pPr>
        <w:ind w:firstLine="720"/>
        <w:jc w:val="both"/>
        <w:rPr>
          <w:rFonts w:ascii="Open Sans" w:hAnsi="Open Sans"/>
          <w:lang w:val="en-US"/>
        </w:rPr>
      </w:pPr>
      <w:r>
        <w:rPr>
          <w:rFonts w:ascii="Open Sans" w:hAnsi="Open Sans"/>
          <w:lang w:val="en-US"/>
        </w:rPr>
        <w:t xml:space="preserve">Hypothesis testing is used in this research to see whether the suggested correlations between the variables are valid. P-value analysis is used to </w:t>
      </w:r>
      <w:proofErr w:type="spellStart"/>
      <w:r>
        <w:rPr>
          <w:rFonts w:ascii="Open Sans" w:hAnsi="Open Sans"/>
          <w:lang w:val="en-US"/>
        </w:rPr>
        <w:t>archieve</w:t>
      </w:r>
      <w:proofErr w:type="spellEnd"/>
      <w:r>
        <w:rPr>
          <w:rFonts w:ascii="Open Sans" w:hAnsi="Open Sans"/>
          <w:lang w:val="en-US"/>
        </w:rPr>
        <w:t xml:space="preserve"> this. In order to investigate the effects of a moderating variable in this example, corporate social responsibility on the current connection between profitability metrics (independent variables) and business value (dependent variable), a specialized method known as Moderated Regression Analysis (MRA) is used . in essence, MRA investigates whether or not CSR improves this relationship. The research assesses</w:t>
      </w:r>
      <w:r w:rsidR="00970074">
        <w:rPr>
          <w:rFonts w:ascii="Open Sans" w:hAnsi="Open Sans"/>
          <w:lang w:val="en-US"/>
        </w:rPr>
        <w:t xml:space="preserve"> the significance of these relationships using a statistical method called bootstrapping. The results are shown using p-value path coefficients. When the p-value is less than 0.05, statistical significance is present.</w:t>
      </w:r>
      <w:r>
        <w:rPr>
          <w:rFonts w:ascii="Open Sans" w:hAnsi="Open Sans"/>
          <w:lang w:val="en-US"/>
        </w:rPr>
        <w:t xml:space="preserve"> </w:t>
      </w:r>
    </w:p>
    <w:p w14:paraId="70FE005A" w14:textId="77777777" w:rsidR="0090622E" w:rsidRPr="006777B4" w:rsidRDefault="00970074" w:rsidP="006777B4">
      <w:pPr>
        <w:jc w:val="center"/>
        <w:rPr>
          <w:rFonts w:ascii="Open Sans" w:hAnsi="Open Sans"/>
          <w:b/>
        </w:rPr>
      </w:pPr>
      <w:r>
        <w:rPr>
          <w:rFonts w:ascii="Open Sans" w:hAnsi="Open Sans"/>
          <w:b/>
          <w:lang w:val="en-US"/>
        </w:rPr>
        <w:t>Table 7. Path Coefficient Results</w:t>
      </w:r>
    </w:p>
    <w:tbl>
      <w:tblPr>
        <w:tblStyle w:val="TableGrid"/>
        <w:tblW w:w="8250" w:type="dxa"/>
        <w:jc w:val="center"/>
        <w:tblInd w:w="0" w:type="dxa"/>
        <w:tblLayout w:type="fixed"/>
        <w:tblLook w:val="04A0" w:firstRow="1" w:lastRow="0" w:firstColumn="1" w:lastColumn="0" w:noHBand="0" w:noVBand="1"/>
      </w:tblPr>
      <w:tblGrid>
        <w:gridCol w:w="1734"/>
        <w:gridCol w:w="1133"/>
        <w:gridCol w:w="1417"/>
        <w:gridCol w:w="1274"/>
        <w:gridCol w:w="1559"/>
        <w:gridCol w:w="1133"/>
      </w:tblGrid>
      <w:tr w:rsidR="0090622E" w:rsidRPr="006777B4" w14:paraId="66F31836" w14:textId="77777777" w:rsidTr="001A5EDD">
        <w:trPr>
          <w:jc w:val="center"/>
        </w:trPr>
        <w:tc>
          <w:tcPr>
            <w:tcW w:w="1734" w:type="dxa"/>
            <w:tcBorders>
              <w:top w:val="single" w:sz="4" w:space="0" w:color="auto"/>
              <w:left w:val="single" w:sz="4" w:space="0" w:color="auto"/>
              <w:bottom w:val="single" w:sz="4" w:space="0" w:color="auto"/>
              <w:right w:val="single" w:sz="4" w:space="0" w:color="auto"/>
            </w:tcBorders>
            <w:vAlign w:val="center"/>
          </w:tcPr>
          <w:p w14:paraId="5B60648B" w14:textId="77777777" w:rsidR="0090622E" w:rsidRPr="006777B4" w:rsidRDefault="0090622E" w:rsidP="004E57F3">
            <w:pPr>
              <w:ind w:left="0" w:hanging="2"/>
              <w:jc w:val="center"/>
              <w:rPr>
                <w:rFonts w:ascii="Open Sans" w:hAnsi="Open Sans"/>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1BFE1F69" w14:textId="77777777" w:rsidR="0090622E" w:rsidRPr="006777B4" w:rsidRDefault="0090622E" w:rsidP="004E57F3">
            <w:pPr>
              <w:ind w:left="0" w:hanging="2"/>
              <w:jc w:val="center"/>
              <w:rPr>
                <w:rFonts w:ascii="Open Sans" w:hAnsi="Open Sans"/>
              </w:rPr>
            </w:pPr>
            <w:r w:rsidRPr="006777B4">
              <w:rPr>
                <w:rFonts w:ascii="Open Sans" w:hAnsi="Open Sans"/>
              </w:rPr>
              <w:t>Original Sample (O)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07BCBB" w14:textId="77777777" w:rsidR="0090622E" w:rsidRPr="006777B4" w:rsidRDefault="0090622E" w:rsidP="004E57F3">
            <w:pPr>
              <w:ind w:left="0" w:hanging="2"/>
              <w:jc w:val="center"/>
              <w:rPr>
                <w:rFonts w:ascii="Open Sans" w:hAnsi="Open Sans"/>
              </w:rPr>
            </w:pPr>
            <w:r w:rsidRPr="006777B4">
              <w:rPr>
                <w:rFonts w:ascii="Open Sans" w:hAnsi="Open Sans"/>
              </w:rPr>
              <w:t>Sample Mean (M)</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6E05DF9" w14:textId="77777777" w:rsidR="0090622E" w:rsidRPr="006777B4" w:rsidRDefault="0090622E" w:rsidP="004E57F3">
            <w:pPr>
              <w:ind w:left="0" w:hanging="2"/>
              <w:jc w:val="center"/>
              <w:rPr>
                <w:rFonts w:ascii="Open Sans" w:hAnsi="Open Sans"/>
              </w:rPr>
            </w:pPr>
            <w:r w:rsidRPr="006777B4">
              <w:rPr>
                <w:rFonts w:ascii="Open Sans" w:hAnsi="Open Sans"/>
              </w:rPr>
              <w:t>Standar Deviation (STDEV)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820607" w14:textId="77777777" w:rsidR="0090622E" w:rsidRPr="006777B4" w:rsidRDefault="0090622E" w:rsidP="004E57F3">
            <w:pPr>
              <w:ind w:left="0" w:hanging="2"/>
              <w:jc w:val="center"/>
              <w:rPr>
                <w:rFonts w:ascii="Open Sans" w:hAnsi="Open Sans"/>
              </w:rPr>
            </w:pPr>
            <w:r w:rsidRPr="006777B4">
              <w:rPr>
                <w:rFonts w:ascii="Open Sans" w:hAnsi="Open Sans"/>
              </w:rPr>
              <w:t>T Statistics (|O/STDEV|)</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F2E1BF3" w14:textId="77777777" w:rsidR="0090622E" w:rsidRPr="006777B4" w:rsidRDefault="0090622E" w:rsidP="004E57F3">
            <w:pPr>
              <w:ind w:left="0" w:hanging="2"/>
              <w:jc w:val="center"/>
              <w:rPr>
                <w:rFonts w:ascii="Open Sans" w:hAnsi="Open Sans"/>
              </w:rPr>
            </w:pPr>
            <w:r w:rsidRPr="006777B4">
              <w:rPr>
                <w:rFonts w:ascii="Open Sans" w:hAnsi="Open Sans"/>
              </w:rPr>
              <w:t>P-Value</w:t>
            </w:r>
          </w:p>
        </w:tc>
      </w:tr>
      <w:tr w:rsidR="0090622E" w:rsidRPr="006777B4" w14:paraId="1BF6AF62" w14:textId="77777777" w:rsidTr="001A5EDD">
        <w:trPr>
          <w:jc w:val="center"/>
        </w:trPr>
        <w:tc>
          <w:tcPr>
            <w:tcW w:w="1734" w:type="dxa"/>
            <w:tcBorders>
              <w:top w:val="single" w:sz="4" w:space="0" w:color="auto"/>
              <w:left w:val="single" w:sz="4" w:space="0" w:color="auto"/>
              <w:bottom w:val="single" w:sz="4" w:space="0" w:color="auto"/>
              <w:right w:val="single" w:sz="4" w:space="0" w:color="auto"/>
            </w:tcBorders>
            <w:vAlign w:val="center"/>
            <w:hideMark/>
          </w:tcPr>
          <w:p w14:paraId="16F4AEC7" w14:textId="77777777" w:rsidR="0090622E" w:rsidRPr="006777B4" w:rsidRDefault="0090622E" w:rsidP="004E57F3">
            <w:pPr>
              <w:ind w:left="0" w:hanging="2"/>
              <w:jc w:val="center"/>
              <w:rPr>
                <w:rFonts w:ascii="Open Sans" w:hAnsi="Open Sans"/>
              </w:rPr>
            </w:pPr>
            <w:r w:rsidRPr="006777B4">
              <w:rPr>
                <w:rFonts w:ascii="Open Sans" w:hAnsi="Open Sans"/>
              </w:rPr>
              <w:t>CSR → PBV</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3E1D5FE" w14:textId="77777777" w:rsidR="0090622E" w:rsidRPr="006777B4" w:rsidRDefault="0090622E" w:rsidP="004E57F3">
            <w:pPr>
              <w:ind w:left="0" w:hanging="2"/>
              <w:jc w:val="center"/>
              <w:rPr>
                <w:rFonts w:ascii="Open Sans" w:hAnsi="Open Sans"/>
              </w:rPr>
            </w:pPr>
            <w:r w:rsidRPr="006777B4">
              <w:rPr>
                <w:rFonts w:ascii="Open Sans" w:hAnsi="Open Sans"/>
              </w:rPr>
              <w:t>0.095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DB58F9" w14:textId="77777777" w:rsidR="0090622E" w:rsidRPr="006777B4" w:rsidRDefault="0090622E" w:rsidP="004E57F3">
            <w:pPr>
              <w:ind w:left="0" w:hanging="2"/>
              <w:jc w:val="center"/>
              <w:rPr>
                <w:rFonts w:ascii="Open Sans" w:hAnsi="Open Sans"/>
              </w:rPr>
            </w:pPr>
            <w:r w:rsidRPr="006777B4">
              <w:rPr>
                <w:rFonts w:ascii="Open Sans" w:hAnsi="Open Sans"/>
              </w:rPr>
              <w:t>0.103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EF13147" w14:textId="77777777" w:rsidR="0090622E" w:rsidRPr="006777B4" w:rsidRDefault="0090622E" w:rsidP="004E57F3">
            <w:pPr>
              <w:ind w:left="0" w:hanging="2"/>
              <w:jc w:val="center"/>
              <w:rPr>
                <w:rFonts w:ascii="Open Sans" w:hAnsi="Open Sans"/>
              </w:rPr>
            </w:pPr>
            <w:r w:rsidRPr="006777B4">
              <w:rPr>
                <w:rFonts w:ascii="Open Sans" w:hAnsi="Open Sans"/>
              </w:rPr>
              <w:t>0.070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FC756C" w14:textId="77777777" w:rsidR="0090622E" w:rsidRPr="006777B4" w:rsidRDefault="0090622E" w:rsidP="004E57F3">
            <w:pPr>
              <w:ind w:left="0" w:hanging="2"/>
              <w:jc w:val="center"/>
              <w:rPr>
                <w:rFonts w:ascii="Open Sans" w:hAnsi="Open Sans"/>
              </w:rPr>
            </w:pPr>
            <w:r w:rsidRPr="006777B4">
              <w:rPr>
                <w:rFonts w:ascii="Open Sans" w:hAnsi="Open Sans"/>
              </w:rPr>
              <w:t>1.344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13150D4" w14:textId="77777777" w:rsidR="0090622E" w:rsidRPr="006777B4" w:rsidRDefault="0090622E" w:rsidP="004E57F3">
            <w:pPr>
              <w:ind w:left="0" w:hanging="2"/>
              <w:jc w:val="center"/>
              <w:rPr>
                <w:rFonts w:ascii="Open Sans" w:hAnsi="Open Sans"/>
              </w:rPr>
            </w:pPr>
            <w:r w:rsidRPr="006777B4">
              <w:rPr>
                <w:rFonts w:ascii="Open Sans" w:hAnsi="Open Sans"/>
              </w:rPr>
              <w:t>0.179</w:t>
            </w:r>
          </w:p>
        </w:tc>
      </w:tr>
      <w:tr w:rsidR="0090622E" w:rsidRPr="006777B4" w14:paraId="530FD4D5" w14:textId="77777777" w:rsidTr="001A5EDD">
        <w:trPr>
          <w:jc w:val="center"/>
        </w:trPr>
        <w:tc>
          <w:tcPr>
            <w:tcW w:w="1734" w:type="dxa"/>
            <w:tcBorders>
              <w:top w:val="single" w:sz="4" w:space="0" w:color="auto"/>
              <w:left w:val="single" w:sz="4" w:space="0" w:color="auto"/>
              <w:bottom w:val="single" w:sz="4" w:space="0" w:color="auto"/>
              <w:right w:val="single" w:sz="4" w:space="0" w:color="auto"/>
            </w:tcBorders>
            <w:vAlign w:val="center"/>
            <w:hideMark/>
          </w:tcPr>
          <w:p w14:paraId="61B2F853" w14:textId="77777777" w:rsidR="0090622E" w:rsidRPr="006777B4" w:rsidRDefault="0090622E" w:rsidP="004E57F3">
            <w:pPr>
              <w:ind w:left="0" w:hanging="2"/>
              <w:jc w:val="center"/>
              <w:rPr>
                <w:rFonts w:ascii="Open Sans" w:hAnsi="Open Sans"/>
              </w:rPr>
            </w:pPr>
            <w:r w:rsidRPr="006777B4">
              <w:rPr>
                <w:rFonts w:ascii="Open Sans" w:hAnsi="Open Sans"/>
              </w:rPr>
              <w:t>ROA → PBV</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9ED6B0F" w14:textId="77777777" w:rsidR="0090622E" w:rsidRPr="006777B4" w:rsidRDefault="0090622E" w:rsidP="004E57F3">
            <w:pPr>
              <w:ind w:left="0" w:hanging="2"/>
              <w:jc w:val="center"/>
              <w:rPr>
                <w:rFonts w:ascii="Open Sans" w:hAnsi="Open Sans"/>
              </w:rPr>
            </w:pPr>
            <w:r w:rsidRPr="006777B4">
              <w:rPr>
                <w:rFonts w:ascii="Open Sans" w:hAnsi="Open Sans"/>
              </w:rPr>
              <w:t>0.922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30EF4D" w14:textId="77777777" w:rsidR="0090622E" w:rsidRPr="006777B4" w:rsidRDefault="0090622E" w:rsidP="004E57F3">
            <w:pPr>
              <w:ind w:left="0" w:hanging="2"/>
              <w:jc w:val="center"/>
              <w:rPr>
                <w:rFonts w:ascii="Open Sans" w:hAnsi="Open Sans"/>
              </w:rPr>
            </w:pPr>
            <w:r w:rsidRPr="006777B4">
              <w:rPr>
                <w:rFonts w:ascii="Open Sans" w:hAnsi="Open Sans"/>
              </w:rPr>
              <w:t>0.931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4591013" w14:textId="77777777" w:rsidR="0090622E" w:rsidRPr="006777B4" w:rsidRDefault="0090622E" w:rsidP="004E57F3">
            <w:pPr>
              <w:ind w:left="0" w:hanging="2"/>
              <w:jc w:val="center"/>
              <w:rPr>
                <w:rFonts w:ascii="Open Sans" w:hAnsi="Open Sans"/>
              </w:rPr>
            </w:pPr>
            <w:r w:rsidRPr="006777B4">
              <w:rPr>
                <w:rFonts w:ascii="Open Sans" w:hAnsi="Open Sans"/>
              </w:rPr>
              <w:t>0.219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CA7E18" w14:textId="77777777" w:rsidR="0090622E" w:rsidRPr="006777B4" w:rsidRDefault="0090622E" w:rsidP="004E57F3">
            <w:pPr>
              <w:ind w:left="0" w:hanging="2"/>
              <w:jc w:val="center"/>
              <w:rPr>
                <w:rFonts w:ascii="Open Sans" w:hAnsi="Open Sans"/>
              </w:rPr>
            </w:pPr>
            <w:r w:rsidRPr="006777B4">
              <w:rPr>
                <w:rFonts w:ascii="Open Sans" w:hAnsi="Open Sans"/>
              </w:rPr>
              <w:t>4.214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E544CB8" w14:textId="77777777" w:rsidR="0090622E" w:rsidRPr="006777B4" w:rsidRDefault="0090622E" w:rsidP="004E57F3">
            <w:pPr>
              <w:ind w:left="0" w:hanging="2"/>
              <w:jc w:val="center"/>
              <w:rPr>
                <w:rFonts w:ascii="Open Sans" w:hAnsi="Open Sans"/>
              </w:rPr>
            </w:pPr>
            <w:r w:rsidRPr="006777B4">
              <w:rPr>
                <w:rFonts w:ascii="Open Sans" w:hAnsi="Open Sans"/>
              </w:rPr>
              <w:t>0.000</w:t>
            </w:r>
          </w:p>
        </w:tc>
      </w:tr>
      <w:tr w:rsidR="0090622E" w:rsidRPr="006777B4" w14:paraId="0355DFDE" w14:textId="77777777" w:rsidTr="001A5EDD">
        <w:trPr>
          <w:jc w:val="center"/>
        </w:trPr>
        <w:tc>
          <w:tcPr>
            <w:tcW w:w="1734" w:type="dxa"/>
            <w:tcBorders>
              <w:top w:val="single" w:sz="4" w:space="0" w:color="auto"/>
              <w:left w:val="single" w:sz="4" w:space="0" w:color="auto"/>
              <w:bottom w:val="single" w:sz="4" w:space="0" w:color="auto"/>
              <w:right w:val="single" w:sz="4" w:space="0" w:color="auto"/>
            </w:tcBorders>
            <w:vAlign w:val="center"/>
            <w:hideMark/>
          </w:tcPr>
          <w:p w14:paraId="2164CCBE" w14:textId="77777777" w:rsidR="0090622E" w:rsidRPr="006777B4" w:rsidRDefault="0090622E" w:rsidP="004E57F3">
            <w:pPr>
              <w:ind w:left="0" w:hanging="2"/>
              <w:jc w:val="center"/>
              <w:rPr>
                <w:rFonts w:ascii="Open Sans" w:hAnsi="Open Sans"/>
              </w:rPr>
            </w:pPr>
            <w:r w:rsidRPr="006777B4">
              <w:rPr>
                <w:rFonts w:ascii="Open Sans" w:hAnsi="Open Sans"/>
              </w:rPr>
              <w:t>ROE → PBV</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30F54F0" w14:textId="77777777" w:rsidR="0090622E" w:rsidRPr="006777B4" w:rsidRDefault="0090622E" w:rsidP="004E57F3">
            <w:pPr>
              <w:ind w:left="0" w:hanging="2"/>
              <w:jc w:val="center"/>
              <w:rPr>
                <w:rFonts w:ascii="Open Sans" w:hAnsi="Open Sans"/>
              </w:rPr>
            </w:pPr>
            <w:r w:rsidRPr="006777B4">
              <w:rPr>
                <w:rFonts w:ascii="Open Sans" w:hAnsi="Open Sans"/>
              </w:rPr>
              <w:t>-0.596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3A52B4" w14:textId="77777777" w:rsidR="0090622E" w:rsidRPr="006777B4" w:rsidRDefault="0090622E" w:rsidP="004E57F3">
            <w:pPr>
              <w:ind w:left="0" w:hanging="2"/>
              <w:jc w:val="center"/>
              <w:rPr>
                <w:rFonts w:ascii="Open Sans" w:hAnsi="Open Sans"/>
              </w:rPr>
            </w:pPr>
            <w:r w:rsidRPr="006777B4">
              <w:rPr>
                <w:rFonts w:ascii="Open Sans" w:hAnsi="Open Sans"/>
              </w:rPr>
              <w:t>-0.612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E83A339" w14:textId="77777777" w:rsidR="0090622E" w:rsidRPr="006777B4" w:rsidRDefault="0090622E" w:rsidP="004E57F3">
            <w:pPr>
              <w:ind w:left="0" w:hanging="2"/>
              <w:jc w:val="center"/>
              <w:rPr>
                <w:rFonts w:ascii="Open Sans" w:hAnsi="Open Sans"/>
              </w:rPr>
            </w:pPr>
            <w:r w:rsidRPr="006777B4">
              <w:rPr>
                <w:rFonts w:ascii="Open Sans" w:hAnsi="Open Sans"/>
              </w:rPr>
              <w:t>0.212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19A7D6" w14:textId="77777777" w:rsidR="0090622E" w:rsidRPr="006777B4" w:rsidRDefault="0090622E" w:rsidP="004E57F3">
            <w:pPr>
              <w:ind w:left="0" w:hanging="2"/>
              <w:jc w:val="center"/>
              <w:rPr>
                <w:rFonts w:ascii="Open Sans" w:hAnsi="Open Sans"/>
              </w:rPr>
            </w:pPr>
            <w:r w:rsidRPr="006777B4">
              <w:rPr>
                <w:rFonts w:ascii="Open Sans" w:hAnsi="Open Sans"/>
              </w:rPr>
              <w:t>2.809</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2488653" w14:textId="77777777" w:rsidR="0090622E" w:rsidRPr="006777B4" w:rsidRDefault="0090622E" w:rsidP="004E57F3">
            <w:pPr>
              <w:ind w:left="0" w:hanging="2"/>
              <w:jc w:val="center"/>
              <w:rPr>
                <w:rFonts w:ascii="Open Sans" w:hAnsi="Open Sans"/>
              </w:rPr>
            </w:pPr>
            <w:r w:rsidRPr="006777B4">
              <w:rPr>
                <w:rFonts w:ascii="Open Sans" w:hAnsi="Open Sans"/>
              </w:rPr>
              <w:t>0.005</w:t>
            </w:r>
          </w:p>
        </w:tc>
      </w:tr>
      <w:tr w:rsidR="0090622E" w:rsidRPr="006777B4" w14:paraId="64CF0044" w14:textId="77777777" w:rsidTr="001A5EDD">
        <w:trPr>
          <w:jc w:val="center"/>
        </w:trPr>
        <w:tc>
          <w:tcPr>
            <w:tcW w:w="1734" w:type="dxa"/>
            <w:tcBorders>
              <w:top w:val="single" w:sz="4" w:space="0" w:color="auto"/>
              <w:left w:val="single" w:sz="4" w:space="0" w:color="auto"/>
              <w:bottom w:val="single" w:sz="4" w:space="0" w:color="auto"/>
              <w:right w:val="single" w:sz="4" w:space="0" w:color="auto"/>
            </w:tcBorders>
            <w:vAlign w:val="center"/>
            <w:hideMark/>
          </w:tcPr>
          <w:p w14:paraId="107A0697" w14:textId="77777777" w:rsidR="003C2BBF" w:rsidRPr="006777B4" w:rsidRDefault="0090622E" w:rsidP="004E57F3">
            <w:pPr>
              <w:ind w:left="0" w:hanging="2"/>
              <w:jc w:val="center"/>
              <w:rPr>
                <w:rFonts w:ascii="Open Sans" w:hAnsi="Open Sans"/>
              </w:rPr>
            </w:pPr>
            <w:r w:rsidRPr="006777B4">
              <w:rPr>
                <w:rFonts w:ascii="Open Sans" w:hAnsi="Open Sans"/>
              </w:rPr>
              <w:t>Moderating 1</w:t>
            </w:r>
          </w:p>
          <w:p w14:paraId="345B9883" w14:textId="77777777" w:rsidR="0090622E" w:rsidRPr="006777B4" w:rsidRDefault="003C2BBF" w:rsidP="004E57F3">
            <w:pPr>
              <w:ind w:left="0" w:hanging="2"/>
              <w:jc w:val="center"/>
              <w:rPr>
                <w:rFonts w:ascii="Open Sans" w:hAnsi="Open Sans"/>
              </w:rPr>
            </w:pPr>
            <w:r w:rsidRPr="006777B4">
              <w:rPr>
                <w:rFonts w:ascii="Open Sans" w:hAnsi="Open Sans"/>
                <w:lang w:val="en-US"/>
              </w:rPr>
              <w:t>ROA</w:t>
            </w:r>
            <w:r w:rsidR="0090622E" w:rsidRPr="006777B4">
              <w:rPr>
                <w:rFonts w:ascii="Open Sans" w:hAnsi="Open Sans"/>
              </w:rPr>
              <w:t xml:space="preserve"> → PBV</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8F6A245" w14:textId="77777777" w:rsidR="0090622E" w:rsidRPr="006777B4" w:rsidRDefault="0090622E" w:rsidP="004E57F3">
            <w:pPr>
              <w:ind w:left="0" w:hanging="2"/>
              <w:jc w:val="center"/>
              <w:rPr>
                <w:rFonts w:ascii="Open Sans" w:hAnsi="Open Sans"/>
              </w:rPr>
            </w:pPr>
            <w:r w:rsidRPr="006777B4">
              <w:rPr>
                <w:rFonts w:ascii="Open Sans" w:hAnsi="Open Sans"/>
              </w:rPr>
              <w:t>0.565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BC123F" w14:textId="77777777" w:rsidR="0090622E" w:rsidRPr="006777B4" w:rsidRDefault="0090622E" w:rsidP="004E57F3">
            <w:pPr>
              <w:ind w:left="0" w:hanging="2"/>
              <w:jc w:val="center"/>
              <w:rPr>
                <w:rFonts w:ascii="Open Sans" w:hAnsi="Open Sans"/>
              </w:rPr>
            </w:pPr>
            <w:r w:rsidRPr="006777B4">
              <w:rPr>
                <w:rFonts w:ascii="Open Sans" w:hAnsi="Open Sans"/>
              </w:rPr>
              <w:t>0.568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14EB48" w14:textId="77777777" w:rsidR="0090622E" w:rsidRPr="006777B4" w:rsidRDefault="0090622E" w:rsidP="004E57F3">
            <w:pPr>
              <w:ind w:left="0" w:hanging="2"/>
              <w:jc w:val="center"/>
              <w:rPr>
                <w:rFonts w:ascii="Open Sans" w:hAnsi="Open Sans"/>
              </w:rPr>
            </w:pPr>
            <w:r w:rsidRPr="006777B4">
              <w:rPr>
                <w:rFonts w:ascii="Open Sans" w:hAnsi="Open Sans"/>
              </w:rPr>
              <w:t>0.178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92EE51" w14:textId="77777777" w:rsidR="0090622E" w:rsidRPr="006777B4" w:rsidRDefault="0090622E" w:rsidP="004E57F3">
            <w:pPr>
              <w:ind w:left="0" w:hanging="2"/>
              <w:jc w:val="center"/>
              <w:rPr>
                <w:rFonts w:ascii="Open Sans" w:hAnsi="Open Sans"/>
              </w:rPr>
            </w:pPr>
            <w:r w:rsidRPr="006777B4">
              <w:rPr>
                <w:rFonts w:ascii="Open Sans" w:hAnsi="Open Sans"/>
              </w:rPr>
              <w:t>3.167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ACD6600" w14:textId="77777777" w:rsidR="0090622E" w:rsidRPr="006777B4" w:rsidRDefault="0090622E" w:rsidP="004E57F3">
            <w:pPr>
              <w:ind w:left="0" w:hanging="2"/>
              <w:jc w:val="center"/>
              <w:rPr>
                <w:rFonts w:ascii="Open Sans" w:hAnsi="Open Sans"/>
              </w:rPr>
            </w:pPr>
            <w:r w:rsidRPr="006777B4">
              <w:rPr>
                <w:rFonts w:ascii="Open Sans" w:hAnsi="Open Sans"/>
              </w:rPr>
              <w:t>0.002</w:t>
            </w:r>
          </w:p>
        </w:tc>
      </w:tr>
      <w:tr w:rsidR="0090622E" w:rsidRPr="006777B4" w14:paraId="5BE349BA" w14:textId="77777777" w:rsidTr="001A5EDD">
        <w:trPr>
          <w:jc w:val="center"/>
        </w:trPr>
        <w:tc>
          <w:tcPr>
            <w:tcW w:w="1734" w:type="dxa"/>
            <w:tcBorders>
              <w:top w:val="single" w:sz="4" w:space="0" w:color="auto"/>
              <w:left w:val="single" w:sz="4" w:space="0" w:color="auto"/>
              <w:bottom w:val="single" w:sz="4" w:space="0" w:color="auto"/>
              <w:right w:val="single" w:sz="4" w:space="0" w:color="auto"/>
            </w:tcBorders>
            <w:vAlign w:val="center"/>
            <w:hideMark/>
          </w:tcPr>
          <w:p w14:paraId="744A0AB0" w14:textId="77777777" w:rsidR="003C2BBF" w:rsidRPr="006777B4" w:rsidRDefault="003C2BBF" w:rsidP="004E57F3">
            <w:pPr>
              <w:ind w:left="0" w:hanging="2"/>
              <w:jc w:val="center"/>
              <w:rPr>
                <w:rFonts w:ascii="Open Sans" w:hAnsi="Open Sans"/>
              </w:rPr>
            </w:pPr>
            <w:r w:rsidRPr="006777B4">
              <w:rPr>
                <w:rFonts w:ascii="Open Sans" w:hAnsi="Open Sans"/>
              </w:rPr>
              <w:t>Moderating 2</w:t>
            </w:r>
          </w:p>
          <w:p w14:paraId="578907E8" w14:textId="77777777" w:rsidR="0090622E" w:rsidRPr="006777B4" w:rsidRDefault="003C2BBF" w:rsidP="004E57F3">
            <w:pPr>
              <w:ind w:left="0" w:hanging="2"/>
              <w:jc w:val="center"/>
              <w:rPr>
                <w:rFonts w:ascii="Open Sans" w:hAnsi="Open Sans"/>
              </w:rPr>
            </w:pPr>
            <w:r w:rsidRPr="006777B4">
              <w:rPr>
                <w:rFonts w:ascii="Open Sans" w:hAnsi="Open Sans"/>
                <w:lang w:val="en-US"/>
              </w:rPr>
              <w:t>ROE</w:t>
            </w:r>
            <w:r w:rsidR="0090622E" w:rsidRPr="006777B4">
              <w:rPr>
                <w:rFonts w:ascii="Open Sans" w:hAnsi="Open Sans"/>
              </w:rPr>
              <w:t>→ PBV</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F0146CB" w14:textId="77777777" w:rsidR="0090622E" w:rsidRPr="006777B4" w:rsidRDefault="0090622E" w:rsidP="004E57F3">
            <w:pPr>
              <w:ind w:left="0" w:hanging="2"/>
              <w:jc w:val="center"/>
              <w:rPr>
                <w:rFonts w:ascii="Open Sans" w:hAnsi="Open Sans"/>
              </w:rPr>
            </w:pPr>
            <w:r w:rsidRPr="006777B4">
              <w:rPr>
                <w:rFonts w:ascii="Open Sans" w:hAnsi="Open Sans"/>
              </w:rPr>
              <w:t>-0.463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05A8B9" w14:textId="77777777" w:rsidR="0090622E" w:rsidRPr="006777B4" w:rsidRDefault="0090622E" w:rsidP="004E57F3">
            <w:pPr>
              <w:ind w:left="0" w:hanging="2"/>
              <w:jc w:val="center"/>
              <w:rPr>
                <w:rFonts w:ascii="Open Sans" w:hAnsi="Open Sans"/>
              </w:rPr>
            </w:pPr>
            <w:r w:rsidRPr="006777B4">
              <w:rPr>
                <w:rFonts w:ascii="Open Sans" w:hAnsi="Open Sans"/>
              </w:rPr>
              <w:t>-0.469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72685EC" w14:textId="77777777" w:rsidR="0090622E" w:rsidRPr="006777B4" w:rsidRDefault="0090622E" w:rsidP="004E57F3">
            <w:pPr>
              <w:ind w:left="0" w:hanging="2"/>
              <w:jc w:val="center"/>
              <w:rPr>
                <w:rFonts w:ascii="Open Sans" w:hAnsi="Open Sans"/>
              </w:rPr>
            </w:pPr>
            <w:r w:rsidRPr="006777B4">
              <w:rPr>
                <w:rFonts w:ascii="Open Sans" w:hAnsi="Open Sans"/>
              </w:rPr>
              <w:t>0.150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EC5180" w14:textId="77777777" w:rsidR="0090622E" w:rsidRPr="006777B4" w:rsidRDefault="0090622E" w:rsidP="004E57F3">
            <w:pPr>
              <w:ind w:left="0" w:hanging="2"/>
              <w:jc w:val="center"/>
              <w:rPr>
                <w:rFonts w:ascii="Open Sans" w:hAnsi="Open Sans"/>
              </w:rPr>
            </w:pPr>
            <w:r w:rsidRPr="006777B4">
              <w:rPr>
                <w:rFonts w:ascii="Open Sans" w:hAnsi="Open Sans"/>
              </w:rPr>
              <w:t>3.094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3FF8020" w14:textId="77777777" w:rsidR="0090622E" w:rsidRPr="006777B4" w:rsidRDefault="0090622E" w:rsidP="004E57F3">
            <w:pPr>
              <w:ind w:left="0" w:hanging="2"/>
              <w:jc w:val="center"/>
              <w:rPr>
                <w:rFonts w:ascii="Open Sans" w:hAnsi="Open Sans"/>
              </w:rPr>
            </w:pPr>
            <w:r w:rsidRPr="006777B4">
              <w:rPr>
                <w:rFonts w:ascii="Open Sans" w:hAnsi="Open Sans"/>
              </w:rPr>
              <w:t>0.002</w:t>
            </w:r>
          </w:p>
        </w:tc>
      </w:tr>
    </w:tbl>
    <w:p w14:paraId="3990594F" w14:textId="77777777" w:rsidR="001A5EDD" w:rsidRPr="006777B4" w:rsidRDefault="00970074" w:rsidP="001A5EDD">
      <w:pPr>
        <w:jc w:val="center"/>
        <w:rPr>
          <w:rFonts w:ascii="Open Sans" w:hAnsi="Open Sans"/>
        </w:rPr>
      </w:pPr>
      <w:r>
        <w:rPr>
          <w:rFonts w:ascii="Open Sans" w:hAnsi="Open Sans"/>
          <w:lang w:val="en-US"/>
        </w:rPr>
        <w:t xml:space="preserve">Source: data processed with </w:t>
      </w:r>
      <w:proofErr w:type="spellStart"/>
      <w:r>
        <w:rPr>
          <w:rFonts w:ascii="Open Sans" w:hAnsi="Open Sans"/>
          <w:lang w:val="en-US"/>
        </w:rPr>
        <w:t>SmartPls</w:t>
      </w:r>
      <w:proofErr w:type="spellEnd"/>
      <w:r>
        <w:rPr>
          <w:rFonts w:ascii="Open Sans" w:hAnsi="Open Sans"/>
          <w:lang w:val="en-US"/>
        </w:rPr>
        <w:t xml:space="preserve"> (2024)</w:t>
      </w:r>
    </w:p>
    <w:p w14:paraId="71BF0563" w14:textId="77777777" w:rsidR="006777B4" w:rsidRPr="006777B4" w:rsidRDefault="004C597F" w:rsidP="006777B4">
      <w:pPr>
        <w:jc w:val="both"/>
        <w:rPr>
          <w:rFonts w:ascii="Open Sans" w:hAnsi="Open Sans"/>
          <w:lang w:val="en-US"/>
        </w:rPr>
      </w:pPr>
      <w:r w:rsidRPr="006777B4">
        <w:rPr>
          <w:rFonts w:ascii="Open Sans" w:hAnsi="Open Sans"/>
        </w:rPr>
        <w:t xml:space="preserve">Based on the </w:t>
      </w:r>
      <w:r w:rsidR="006777B4" w:rsidRPr="006777B4">
        <w:rPr>
          <w:rFonts w:ascii="Open Sans" w:hAnsi="Open Sans"/>
        </w:rPr>
        <w:t>results</w:t>
      </w:r>
      <w:r w:rsidR="006777B4" w:rsidRPr="006777B4">
        <w:rPr>
          <w:rFonts w:ascii="Open Sans" w:hAnsi="Open Sans"/>
          <w:lang w:val="en-US"/>
        </w:rPr>
        <w:t>:</w:t>
      </w:r>
    </w:p>
    <w:p w14:paraId="483E9110" w14:textId="77777777" w:rsidR="006777B4" w:rsidRPr="00970074" w:rsidRDefault="006777B4" w:rsidP="006777B4">
      <w:pPr>
        <w:ind w:firstLine="720"/>
        <w:jc w:val="both"/>
        <w:rPr>
          <w:rFonts w:ascii="Open Sans" w:hAnsi="Open Sans"/>
          <w:lang w:val="en-US"/>
        </w:rPr>
      </w:pPr>
      <w:r w:rsidRPr="006777B4">
        <w:rPr>
          <w:rFonts w:ascii="Open Sans" w:hAnsi="Open Sans"/>
          <w:b/>
          <w:bCs/>
        </w:rPr>
        <w:t>Corporate Social Responsibility (CSR):</w:t>
      </w:r>
      <w:r w:rsidRPr="006777B4">
        <w:rPr>
          <w:rFonts w:ascii="Open Sans" w:hAnsi="Open Sans"/>
        </w:rPr>
        <w:t xml:space="preserve"> </w:t>
      </w:r>
      <w:r w:rsidR="00970074">
        <w:rPr>
          <w:rFonts w:ascii="Open Sans" w:hAnsi="Open Sans"/>
          <w:lang w:val="en-US"/>
        </w:rPr>
        <w:t xml:space="preserve">The results indicate that CSR has a positive </w:t>
      </w:r>
      <w:proofErr w:type="spellStart"/>
      <w:r w:rsidR="00970074">
        <w:rPr>
          <w:rFonts w:ascii="Open Sans" w:hAnsi="Open Sans"/>
          <w:lang w:val="en-US"/>
        </w:rPr>
        <w:t>impat</w:t>
      </w:r>
      <w:proofErr w:type="spellEnd"/>
      <w:r w:rsidR="00970074">
        <w:rPr>
          <w:rFonts w:ascii="Open Sans" w:hAnsi="Open Sans"/>
          <w:lang w:val="en-US"/>
        </w:rPr>
        <w:t xml:space="preserve"> on firm value, however at the 5% level, this effect is not statistically significant (the T-statistic of 1.344 is below the 1.96 criterion)</w:t>
      </w:r>
    </w:p>
    <w:p w14:paraId="234FF472" w14:textId="77777777" w:rsidR="006777B4" w:rsidRPr="006777B4" w:rsidRDefault="00893A82" w:rsidP="006777B4">
      <w:pPr>
        <w:ind w:firstLine="720"/>
        <w:jc w:val="both"/>
        <w:rPr>
          <w:rFonts w:ascii="Open Sans" w:hAnsi="Open Sans"/>
        </w:rPr>
      </w:pPr>
      <w:r>
        <w:rPr>
          <w:rFonts w:ascii="Open Sans" w:hAnsi="Open Sans"/>
          <w:b/>
          <w:bCs/>
        </w:rPr>
        <w:t>ROA</w:t>
      </w:r>
      <w:r w:rsidR="006777B4" w:rsidRPr="006777B4">
        <w:rPr>
          <w:rFonts w:ascii="Open Sans" w:hAnsi="Open Sans"/>
          <w:b/>
          <w:bCs/>
        </w:rPr>
        <w:t>:</w:t>
      </w:r>
      <w:r w:rsidR="006777B4" w:rsidRPr="006777B4">
        <w:rPr>
          <w:rFonts w:ascii="Open Sans" w:hAnsi="Open Sans"/>
        </w:rPr>
        <w:t xml:space="preserve"> </w:t>
      </w:r>
      <w:r w:rsidR="00835295">
        <w:rPr>
          <w:rFonts w:ascii="Open Sans" w:hAnsi="Open Sans"/>
          <w:lang w:val="en-US"/>
        </w:rPr>
        <w:t>ROA and firm valuation have a positive and</w:t>
      </w:r>
      <w:r w:rsidR="00D46C23">
        <w:rPr>
          <w:rFonts w:ascii="Open Sans" w:hAnsi="Open Sans"/>
          <w:lang w:val="en-US"/>
        </w:rPr>
        <w:t xml:space="preserve"> statistically significant link</w:t>
      </w:r>
      <w:r w:rsidR="006777B4" w:rsidRPr="006777B4">
        <w:rPr>
          <w:rFonts w:ascii="Open Sans" w:hAnsi="Open Sans"/>
        </w:rPr>
        <w:t xml:space="preserve"> (T-statistic of 4.214 </w:t>
      </w:r>
      <w:r w:rsidR="00835295">
        <w:rPr>
          <w:rFonts w:ascii="Open Sans" w:hAnsi="Open Sans"/>
          <w:lang w:val="en-US"/>
        </w:rPr>
        <w:t>above</w:t>
      </w:r>
      <w:r w:rsidR="006777B4" w:rsidRPr="006777B4">
        <w:rPr>
          <w:rFonts w:ascii="Open Sans" w:hAnsi="Open Sans"/>
        </w:rPr>
        <w:t xml:space="preserve"> 1.96</w:t>
      </w:r>
      <w:r w:rsidR="00835295">
        <w:rPr>
          <w:rFonts w:ascii="Open Sans" w:hAnsi="Open Sans"/>
          <w:lang w:val="en-US"/>
        </w:rPr>
        <w:t xml:space="preserve"> criterion</w:t>
      </w:r>
      <w:r w:rsidR="006777B4" w:rsidRPr="006777B4">
        <w:rPr>
          <w:rFonts w:ascii="Open Sans" w:hAnsi="Open Sans"/>
        </w:rPr>
        <w:t>).</w:t>
      </w:r>
    </w:p>
    <w:p w14:paraId="4D6186E4" w14:textId="77777777" w:rsidR="006777B4" w:rsidRPr="006777B4" w:rsidRDefault="00893A82" w:rsidP="006777B4">
      <w:pPr>
        <w:ind w:firstLine="720"/>
        <w:jc w:val="both"/>
        <w:rPr>
          <w:rFonts w:ascii="Open Sans" w:hAnsi="Open Sans"/>
        </w:rPr>
      </w:pPr>
      <w:r>
        <w:rPr>
          <w:rFonts w:ascii="Open Sans" w:hAnsi="Open Sans"/>
          <w:b/>
          <w:bCs/>
        </w:rPr>
        <w:t>ROE</w:t>
      </w:r>
      <w:r w:rsidR="006777B4" w:rsidRPr="006777B4">
        <w:rPr>
          <w:rFonts w:ascii="Open Sans" w:hAnsi="Open Sans"/>
          <w:b/>
          <w:bCs/>
        </w:rPr>
        <w:t>:</w:t>
      </w:r>
      <w:r w:rsidR="006777B4" w:rsidRPr="006777B4">
        <w:rPr>
          <w:rFonts w:ascii="Open Sans" w:hAnsi="Open Sans"/>
        </w:rPr>
        <w:t xml:space="preserve"> </w:t>
      </w:r>
      <w:r w:rsidR="00835295">
        <w:rPr>
          <w:rFonts w:ascii="Open Sans" w:hAnsi="Open Sans"/>
          <w:lang w:val="en-US"/>
        </w:rPr>
        <w:t>Like ROA, ROE has a statistically significant positive influence on firm value</w:t>
      </w:r>
      <w:r w:rsidR="006777B4" w:rsidRPr="006777B4">
        <w:rPr>
          <w:rFonts w:ascii="Open Sans" w:hAnsi="Open Sans"/>
        </w:rPr>
        <w:t xml:space="preserve"> (T-statistic of 2.809 </w:t>
      </w:r>
      <w:r w:rsidR="00835295">
        <w:rPr>
          <w:rFonts w:ascii="Open Sans" w:hAnsi="Open Sans"/>
          <w:lang w:val="en-US"/>
        </w:rPr>
        <w:t>surpasses</w:t>
      </w:r>
      <w:r w:rsidR="006777B4" w:rsidRPr="006777B4">
        <w:rPr>
          <w:rFonts w:ascii="Open Sans" w:hAnsi="Open Sans"/>
        </w:rPr>
        <w:t xml:space="preserve"> 1.96</w:t>
      </w:r>
      <w:r w:rsidR="00835295">
        <w:rPr>
          <w:rFonts w:ascii="Open Sans" w:hAnsi="Open Sans"/>
          <w:lang w:val="en-US"/>
        </w:rPr>
        <w:t xml:space="preserve"> barrier</w:t>
      </w:r>
      <w:r w:rsidR="006777B4" w:rsidRPr="006777B4">
        <w:rPr>
          <w:rFonts w:ascii="Open Sans" w:hAnsi="Open Sans"/>
        </w:rPr>
        <w:t>).</w:t>
      </w:r>
    </w:p>
    <w:p w14:paraId="3180ABA0" w14:textId="77777777" w:rsidR="006777B4" w:rsidRPr="006777B4" w:rsidRDefault="006777B4" w:rsidP="006777B4">
      <w:pPr>
        <w:ind w:firstLine="720"/>
        <w:jc w:val="both"/>
        <w:rPr>
          <w:rFonts w:ascii="Open Sans" w:hAnsi="Open Sans"/>
        </w:rPr>
      </w:pPr>
      <w:r w:rsidRPr="006777B4">
        <w:rPr>
          <w:rFonts w:ascii="Open Sans" w:hAnsi="Open Sans"/>
          <w:b/>
          <w:bCs/>
        </w:rPr>
        <w:t>Moderating Variables X1 and X2:</w:t>
      </w:r>
      <w:r w:rsidRPr="006777B4">
        <w:rPr>
          <w:rFonts w:ascii="Open Sans" w:hAnsi="Open Sans"/>
        </w:rPr>
        <w:t xml:space="preserve"> </w:t>
      </w:r>
      <w:r w:rsidR="00835295">
        <w:rPr>
          <w:rFonts w:ascii="Open Sans" w:hAnsi="Open Sans"/>
          <w:lang w:val="en-US"/>
        </w:rPr>
        <w:t xml:space="preserve">T-statistics of 3.167 and 3.094, respectively, beyond the 1.96 threshold, show that both moderating variables (X1 and X2, which are probably unique to this study) have positive and </w:t>
      </w:r>
      <w:r w:rsidR="00994161">
        <w:rPr>
          <w:rFonts w:ascii="Open Sans" w:hAnsi="Open Sans"/>
          <w:lang w:val="en-US"/>
        </w:rPr>
        <w:t>statistically significant effect on company value</w:t>
      </w:r>
      <w:r w:rsidR="00994161">
        <w:rPr>
          <w:rFonts w:ascii="Open Sans" w:hAnsi="Open Sans"/>
        </w:rPr>
        <w:t>.</w:t>
      </w:r>
    </w:p>
    <w:p w14:paraId="3044E7F3" w14:textId="77777777" w:rsidR="00AC43BA" w:rsidRPr="006777B4" w:rsidRDefault="0090622E" w:rsidP="00BC4D52">
      <w:pPr>
        <w:pStyle w:val="Heading2"/>
        <w:rPr>
          <w:rFonts w:ascii="Open Sans" w:eastAsia="Open Sans" w:hAnsi="Open Sans" w:cs="Open Sans"/>
          <w:b w:val="0"/>
          <w:i/>
          <w:color w:val="FF0000"/>
          <w:sz w:val="20"/>
          <w:szCs w:val="20"/>
        </w:rPr>
      </w:pPr>
      <w:r w:rsidRPr="006777B4">
        <w:rPr>
          <w:rStyle w:val="Heading2Char"/>
          <w:rFonts w:ascii="Open Sans" w:eastAsia="Open Sans" w:hAnsi="Open Sans"/>
          <w:b/>
          <w:sz w:val="20"/>
          <w:szCs w:val="20"/>
        </w:rPr>
        <w:t>DISCUSSION</w:t>
      </w:r>
    </w:p>
    <w:p w14:paraId="5E833269" w14:textId="77777777" w:rsidR="00B26CD5" w:rsidRDefault="00B26CD5" w:rsidP="00B26CD5">
      <w:pPr>
        <w:jc w:val="both"/>
        <w:rPr>
          <w:rFonts w:ascii="Open Sans" w:hAnsi="Open Sans"/>
          <w:b/>
        </w:rPr>
      </w:pPr>
      <w:r w:rsidRPr="00B26CD5">
        <w:rPr>
          <w:rFonts w:ascii="Open Sans" w:hAnsi="Open Sans"/>
          <w:b/>
        </w:rPr>
        <w:t>Return on Assets influences Company Value</w:t>
      </w:r>
    </w:p>
    <w:p w14:paraId="6A31DDE1" w14:textId="77777777" w:rsidR="004C597F" w:rsidRPr="009B3857" w:rsidRDefault="00893A82" w:rsidP="00893A82">
      <w:pPr>
        <w:ind w:firstLine="720"/>
        <w:jc w:val="both"/>
        <w:rPr>
          <w:rFonts w:ascii="Open Sans" w:hAnsi="Open Sans"/>
          <w:b/>
          <w:lang w:val="en-US"/>
        </w:rPr>
      </w:pPr>
      <w:r>
        <w:rPr>
          <w:rFonts w:ascii="Open Sans" w:hAnsi="Open Sans"/>
          <w:lang w:val="en-US"/>
        </w:rPr>
        <w:t>A</w:t>
      </w:r>
      <w:r w:rsidR="00994161">
        <w:rPr>
          <w:rFonts w:ascii="Open Sans" w:hAnsi="Open Sans"/>
          <w:lang w:val="en-US"/>
        </w:rPr>
        <w:t xml:space="preserve">ccording to the research, there </w:t>
      </w:r>
      <w:r>
        <w:rPr>
          <w:rFonts w:ascii="Open Sans" w:hAnsi="Open Sans"/>
          <w:lang w:val="en-US"/>
        </w:rPr>
        <w:t>is</w:t>
      </w:r>
      <w:r w:rsidR="00994161">
        <w:rPr>
          <w:rFonts w:ascii="Open Sans" w:hAnsi="Open Sans"/>
          <w:lang w:val="en-US"/>
        </w:rPr>
        <w:t xml:space="preserve"> a very significant positive </w:t>
      </w:r>
      <w:r>
        <w:rPr>
          <w:rFonts w:ascii="Open Sans" w:hAnsi="Open Sans"/>
          <w:lang w:val="en-US"/>
        </w:rPr>
        <w:t>relationship</w:t>
      </w:r>
      <w:r w:rsidR="00994161">
        <w:rPr>
          <w:rFonts w:ascii="Open Sans" w:hAnsi="Open Sans"/>
          <w:lang w:val="en-US"/>
        </w:rPr>
        <w:t xml:space="preserve"> between business valuation and return on assets (ROA) (p-value = 0.000, significantly </w:t>
      </w:r>
      <w:r w:rsidR="00994161">
        <w:rPr>
          <w:rFonts w:ascii="Open Sans" w:hAnsi="Open Sans"/>
          <w:lang w:val="en-US"/>
        </w:rPr>
        <w:lastRenderedPageBreak/>
        <w:t>less than the 0.50 threshold). Further support for this comes from the T-statistic (4.214) ab</w:t>
      </w:r>
      <w:r w:rsidR="00D46C23">
        <w:rPr>
          <w:rFonts w:ascii="Open Sans" w:hAnsi="Open Sans"/>
          <w:lang w:val="en-US"/>
        </w:rPr>
        <w:t>ove the critical value (1.96). B</w:t>
      </w:r>
      <w:r w:rsidR="00994161">
        <w:rPr>
          <w:rFonts w:ascii="Open Sans" w:hAnsi="Open Sans"/>
          <w:lang w:val="en-US"/>
        </w:rPr>
        <w:t>ased on these findings, it seems that ROA significantly impacts the firm’s worth. When a company’s return on assets (ROA) is high, it means that its management is effectively allocating its resources to earn a profit. Because it show that the business can generate profit, its profitability might draw in investors. Higher ROA is often associated with a company’s perceived reliability</w:t>
      </w:r>
      <w:r w:rsidR="009B3857">
        <w:rPr>
          <w:rFonts w:ascii="Open Sans" w:hAnsi="Open Sans"/>
          <w:lang w:val="en-US"/>
        </w:rPr>
        <w:t xml:space="preserve">, which may boost investor trust and make raising cash easier. These findings support earlier study by </w:t>
      </w:r>
      <w:r w:rsidR="006777B4" w:rsidRPr="006777B4">
        <w:rPr>
          <w:rFonts w:ascii="Open Sans" w:hAnsi="Open Sans"/>
        </w:rPr>
        <w:t>Apridawati &amp; Hermanto (2020) who found</w:t>
      </w:r>
      <w:r w:rsidR="009B3857">
        <w:rPr>
          <w:rFonts w:ascii="Open Sans" w:hAnsi="Open Sans"/>
          <w:lang w:val="en-US"/>
        </w:rPr>
        <w:t xml:space="preserve"> that</w:t>
      </w:r>
      <w:r w:rsidR="006777B4" w:rsidRPr="006777B4">
        <w:rPr>
          <w:rFonts w:ascii="Open Sans" w:hAnsi="Open Sans"/>
        </w:rPr>
        <w:t xml:space="preserve"> profitability </w:t>
      </w:r>
      <w:r w:rsidR="009B3857">
        <w:rPr>
          <w:rFonts w:ascii="Open Sans" w:hAnsi="Open Sans"/>
          <w:lang w:val="en-US"/>
        </w:rPr>
        <w:t>increased</w:t>
      </w:r>
      <w:r w:rsidR="006777B4" w:rsidRPr="006777B4">
        <w:rPr>
          <w:rFonts w:ascii="Open Sans" w:hAnsi="Open Sans"/>
        </w:rPr>
        <w:t xml:space="preserve"> bank value. Similarly, </w:t>
      </w:r>
      <w:r w:rsidR="009B3857">
        <w:rPr>
          <w:rFonts w:ascii="Open Sans" w:hAnsi="Open Sans"/>
          <w:lang w:val="en-US"/>
        </w:rPr>
        <w:t xml:space="preserve">great asset management performance is thought to add to a firm’s total worth; </w:t>
      </w:r>
      <w:r w:rsidR="006777B4" w:rsidRPr="006777B4">
        <w:rPr>
          <w:rFonts w:ascii="Open Sans" w:hAnsi="Open Sans"/>
        </w:rPr>
        <w:t xml:space="preserve">Fauziah Alfianita et al. (2022) and Pramono et al. (2022) </w:t>
      </w:r>
      <w:r w:rsidR="009B3857">
        <w:rPr>
          <w:rFonts w:ascii="Open Sans" w:hAnsi="Open Sans"/>
          <w:lang w:val="en-US"/>
        </w:rPr>
        <w:t>revealed substantial beneficial benefits of ROA on business value.</w:t>
      </w:r>
      <w:r w:rsidR="00D029AF">
        <w:rPr>
          <w:rFonts w:ascii="Open Sans" w:hAnsi="Open Sans"/>
          <w:lang w:val="en-US"/>
        </w:rPr>
        <w:t xml:space="preserve"> </w:t>
      </w:r>
    </w:p>
    <w:p w14:paraId="1619E49F" w14:textId="77777777" w:rsidR="00B26CD5" w:rsidRPr="00B26CD5" w:rsidRDefault="00B26CD5" w:rsidP="00B26CD5">
      <w:pPr>
        <w:ind w:firstLine="720"/>
        <w:jc w:val="both"/>
        <w:rPr>
          <w:rFonts w:ascii="Open Sans" w:hAnsi="Open Sans"/>
          <w:b/>
        </w:rPr>
      </w:pPr>
    </w:p>
    <w:p w14:paraId="7A64601B" w14:textId="77777777" w:rsidR="00B26CD5" w:rsidRDefault="00B26CD5" w:rsidP="00B26CD5">
      <w:pPr>
        <w:jc w:val="both"/>
        <w:rPr>
          <w:rFonts w:ascii="Open Sans" w:hAnsi="Open Sans"/>
          <w:b/>
        </w:rPr>
      </w:pPr>
      <w:r w:rsidRPr="00B26CD5">
        <w:rPr>
          <w:rFonts w:ascii="Open Sans" w:hAnsi="Open Sans"/>
          <w:b/>
        </w:rPr>
        <w:t>Return on Equity influences Company Value</w:t>
      </w:r>
    </w:p>
    <w:p w14:paraId="52303F7D" w14:textId="131C3705" w:rsidR="006B526E" w:rsidRPr="006B526E" w:rsidRDefault="006B526E" w:rsidP="006B526E">
      <w:pPr>
        <w:ind w:firstLine="720"/>
        <w:jc w:val="both"/>
        <w:rPr>
          <w:rFonts w:ascii="Open Sans" w:hAnsi="Open Sans"/>
          <w:bCs/>
        </w:rPr>
      </w:pPr>
      <w:r w:rsidRPr="006B526E">
        <w:rPr>
          <w:rFonts w:ascii="Open Sans" w:hAnsi="Open Sans"/>
          <w:bCs/>
        </w:rPr>
        <w:t>One of the most important factors that can affect a company's value is its return on equity. This is a measure of how efficiently a company uses its shareholders' money to achieve its goals. Although the p-value is lower than the criterion of 0.05, its T-statistic is greater than the critical value.</w:t>
      </w:r>
      <w:r w:rsidRPr="006B526E">
        <w:rPr>
          <w:rFonts w:ascii="Open Sans" w:hAnsi="Open Sans"/>
          <w:bCs/>
        </w:rPr>
        <w:t xml:space="preserve"> </w:t>
      </w:r>
      <w:r w:rsidRPr="006B526E">
        <w:rPr>
          <w:rFonts w:ascii="Open Sans" w:hAnsi="Open Sans"/>
          <w:bCs/>
        </w:rPr>
        <w:t>A high ROE is attractive for potential investors as it shows that a company has a track record of success. Since these stocks tend to have higher stock prices and a positive market perception, these companies can be considered successful.</w:t>
      </w:r>
      <w:r w:rsidRPr="006B526E">
        <w:rPr>
          <w:rFonts w:ascii="Open Sans" w:hAnsi="Open Sans"/>
          <w:bCs/>
        </w:rPr>
        <w:t xml:space="preserve"> </w:t>
      </w:r>
      <w:r w:rsidRPr="006B526E">
        <w:rPr>
          <w:rFonts w:ascii="Open Sans" w:hAnsi="Open Sans"/>
          <w:bCs/>
        </w:rPr>
        <w:t xml:space="preserve">In a study conducted by Ali &amp; </w:t>
      </w:r>
      <w:proofErr w:type="spellStart"/>
      <w:r w:rsidRPr="006B526E">
        <w:rPr>
          <w:rFonts w:ascii="Open Sans" w:hAnsi="Open Sans"/>
          <w:bCs/>
        </w:rPr>
        <w:t>Faroji</w:t>
      </w:r>
      <w:proofErr w:type="spellEnd"/>
      <w:r w:rsidRPr="006B526E">
        <w:rPr>
          <w:rFonts w:ascii="Open Sans" w:hAnsi="Open Sans"/>
          <w:bCs/>
        </w:rPr>
        <w:t xml:space="preserve"> in 2021, they noted that the return on equity of manufacturing firms in Indonesia's consumer goods industry increased from 2017 to 2019. Other researchers such as Kery Utami and </w:t>
      </w:r>
      <w:proofErr w:type="spellStart"/>
      <w:r w:rsidRPr="006B526E">
        <w:rPr>
          <w:rFonts w:ascii="Open Sans" w:hAnsi="Open Sans"/>
          <w:bCs/>
        </w:rPr>
        <w:t>Girsang</w:t>
      </w:r>
      <w:proofErr w:type="spellEnd"/>
      <w:r w:rsidRPr="006B526E">
        <w:rPr>
          <w:rFonts w:ascii="Open Sans" w:hAnsi="Open Sans"/>
          <w:bCs/>
        </w:rPr>
        <w:t xml:space="preserve"> also noted strong connections between the company's value and profitability.</w:t>
      </w:r>
    </w:p>
    <w:p w14:paraId="49601BBC" w14:textId="77777777" w:rsidR="006777B4" w:rsidRPr="006777B4" w:rsidRDefault="006777B4" w:rsidP="006777B4">
      <w:pPr>
        <w:ind w:firstLine="720"/>
        <w:jc w:val="both"/>
        <w:rPr>
          <w:rFonts w:ascii="Open Sans" w:hAnsi="Open Sans"/>
          <w:b/>
        </w:rPr>
      </w:pPr>
    </w:p>
    <w:p w14:paraId="0714E8EC" w14:textId="77777777" w:rsidR="00B26CD5" w:rsidRDefault="00B26CD5" w:rsidP="00B26CD5">
      <w:pPr>
        <w:jc w:val="both"/>
        <w:rPr>
          <w:rFonts w:ascii="Open Sans" w:hAnsi="Open Sans"/>
          <w:b/>
        </w:rPr>
      </w:pPr>
      <w:r w:rsidRPr="00B26CD5">
        <w:rPr>
          <w:rFonts w:ascii="Open Sans" w:hAnsi="Open Sans"/>
          <w:b/>
        </w:rPr>
        <w:t>Corporate Social Responsibility Moderates Return on Assets on Company Value</w:t>
      </w:r>
    </w:p>
    <w:p w14:paraId="48384F3F" w14:textId="77777777" w:rsidR="006777B4" w:rsidRPr="006777B4" w:rsidRDefault="00785A80" w:rsidP="00B26CD5">
      <w:pPr>
        <w:ind w:firstLine="720"/>
        <w:jc w:val="both"/>
        <w:rPr>
          <w:rFonts w:ascii="Open Sans" w:hAnsi="Open Sans"/>
          <w:b/>
        </w:rPr>
      </w:pPr>
      <w:r>
        <w:rPr>
          <w:rFonts w:ascii="Open Sans" w:hAnsi="Open Sans"/>
          <w:lang w:val="en-US"/>
        </w:rPr>
        <w:t xml:space="preserve">Firm value and return on assets are correlated, however CSR has a moderating effect on this relationship. </w:t>
      </w:r>
      <w:proofErr w:type="spellStart"/>
      <w:r>
        <w:rPr>
          <w:rFonts w:ascii="Open Sans" w:hAnsi="Open Sans"/>
          <w:lang w:val="en-US"/>
        </w:rPr>
        <w:t>SmartPLS</w:t>
      </w:r>
      <w:proofErr w:type="spellEnd"/>
      <w:r>
        <w:rPr>
          <w:rFonts w:ascii="Open Sans" w:hAnsi="Open Sans"/>
          <w:lang w:val="en-US"/>
        </w:rPr>
        <w:t xml:space="preserve"> software was used in the study to investigate this p-value = 0.002</w:t>
      </w:r>
      <w:r w:rsidR="002A3E47">
        <w:rPr>
          <w:rFonts w:ascii="Open Sans" w:hAnsi="Open Sans"/>
          <w:lang w:val="en-US"/>
        </w:rPr>
        <w:t xml:space="preserve"> &lt; 0.05 and T-statistic = 3.167 &gt; 1.96. The research demonstrated a significant moderating effect. This suggests that CSR increases the positive effect of ROA on company value. CSR growth, which might account for some of this finding. Companies may demonstrate their commitment to moral conduct by including CSR data into their financial report. Investors seeking to make socially conscious investments may be drawn to this. </w:t>
      </w:r>
      <w:r>
        <w:rPr>
          <w:rFonts w:ascii="Open Sans" w:hAnsi="Open Sans"/>
          <w:lang w:val="en-US"/>
        </w:rPr>
        <w:t xml:space="preserve"> </w:t>
      </w:r>
      <w:r w:rsidR="006777B4" w:rsidRPr="006777B4">
        <w:rPr>
          <w:rFonts w:ascii="Open Sans" w:hAnsi="Open Sans"/>
        </w:rPr>
        <w:t xml:space="preserve">These results align with previous research by Prena &amp; Muliyawan (2020) who found that CSR disclosure </w:t>
      </w:r>
      <w:r w:rsidR="002A3E47">
        <w:rPr>
          <w:rFonts w:ascii="Open Sans" w:hAnsi="Open Sans"/>
          <w:lang w:val="en-US"/>
        </w:rPr>
        <w:t>enhances the connection</w:t>
      </w:r>
      <w:r w:rsidR="009A397E">
        <w:rPr>
          <w:rFonts w:ascii="Open Sans" w:hAnsi="Open Sans"/>
          <w:lang w:val="en-US"/>
        </w:rPr>
        <w:t xml:space="preserve"> between corporate value</w:t>
      </w:r>
      <w:r w:rsidR="006777B4" w:rsidRPr="006777B4">
        <w:rPr>
          <w:rFonts w:ascii="Open Sans" w:hAnsi="Open Sans"/>
        </w:rPr>
        <w:t xml:space="preserve"> </w:t>
      </w:r>
      <w:r w:rsidR="009A397E">
        <w:rPr>
          <w:rFonts w:ascii="Open Sans" w:hAnsi="Open Sans"/>
          <w:lang w:val="en-US"/>
        </w:rPr>
        <w:t xml:space="preserve">and </w:t>
      </w:r>
      <w:r w:rsidR="006777B4" w:rsidRPr="006777B4">
        <w:rPr>
          <w:rFonts w:ascii="Open Sans" w:hAnsi="Open Sans"/>
        </w:rPr>
        <w:t>financial</w:t>
      </w:r>
      <w:r w:rsidR="009A397E">
        <w:rPr>
          <w:rFonts w:ascii="Open Sans" w:hAnsi="Open Sans"/>
          <w:lang w:val="en-US"/>
        </w:rPr>
        <w:t xml:space="preserve"> success</w:t>
      </w:r>
      <w:r w:rsidR="006777B4" w:rsidRPr="006777B4">
        <w:rPr>
          <w:rFonts w:ascii="Open Sans" w:hAnsi="Open Sans"/>
        </w:rPr>
        <w:t xml:space="preserve">. Similarly, Wulandari &amp; Efendi (2022) and Fajri &amp; Fun (2022) </w:t>
      </w:r>
      <w:r w:rsidR="009A397E">
        <w:rPr>
          <w:rFonts w:ascii="Open Sans" w:hAnsi="Open Sans"/>
          <w:lang w:val="en-US"/>
        </w:rPr>
        <w:t>discovered that CSR amplifies the positive impact of profitability on company value, which is in line with this</w:t>
      </w:r>
      <w:r w:rsidR="006777B4" w:rsidRPr="006777B4">
        <w:rPr>
          <w:rFonts w:ascii="Open Sans" w:hAnsi="Open Sans"/>
        </w:rPr>
        <w:t>.</w:t>
      </w:r>
    </w:p>
    <w:p w14:paraId="3344EF7E" w14:textId="77777777" w:rsidR="004C597F" w:rsidRPr="006777B4" w:rsidRDefault="004C597F" w:rsidP="00AC43BA">
      <w:pPr>
        <w:jc w:val="both"/>
        <w:rPr>
          <w:rFonts w:ascii="Open Sans" w:hAnsi="Open Sans"/>
          <w:b/>
        </w:rPr>
      </w:pPr>
    </w:p>
    <w:p w14:paraId="76A472D0" w14:textId="77777777" w:rsidR="00492E57" w:rsidRDefault="00492E57" w:rsidP="00492E57">
      <w:pPr>
        <w:jc w:val="both"/>
        <w:rPr>
          <w:rFonts w:ascii="Open Sans" w:hAnsi="Open Sans"/>
          <w:b/>
        </w:rPr>
      </w:pPr>
      <w:r w:rsidRPr="00492E57">
        <w:rPr>
          <w:rFonts w:ascii="Open Sans" w:hAnsi="Open Sans"/>
          <w:b/>
        </w:rPr>
        <w:t>Corporate Social Responsibility moderates Return On Equity on Company Value</w:t>
      </w:r>
    </w:p>
    <w:p w14:paraId="1DD57EB0" w14:textId="77777777" w:rsidR="00A758C3" w:rsidRDefault="007605AC" w:rsidP="00492E57">
      <w:pPr>
        <w:ind w:firstLine="720"/>
        <w:jc w:val="both"/>
        <w:rPr>
          <w:rFonts w:ascii="Open Sans" w:hAnsi="Open Sans"/>
        </w:rPr>
      </w:pPr>
      <w:r>
        <w:rPr>
          <w:rFonts w:ascii="Open Sans" w:hAnsi="Open Sans"/>
          <w:lang w:val="en-US"/>
        </w:rPr>
        <w:lastRenderedPageBreak/>
        <w:t xml:space="preserve">The moderating effect of corporate social responsibility on firm value and return on equity. Similar to ROA, the study of ROE using </w:t>
      </w:r>
      <w:proofErr w:type="spellStart"/>
      <w:r>
        <w:rPr>
          <w:rFonts w:ascii="Open Sans" w:hAnsi="Open Sans"/>
          <w:lang w:val="en-US"/>
        </w:rPr>
        <w:t>SmartPLS</w:t>
      </w:r>
      <w:proofErr w:type="spellEnd"/>
      <w:r>
        <w:rPr>
          <w:rFonts w:ascii="Open Sans" w:hAnsi="Open Sans"/>
          <w:lang w:val="en-US"/>
        </w:rPr>
        <w:t xml:space="preserve"> revealed that CSR substantially influenced the relationship between ROE and company value </w:t>
      </w:r>
      <w:r w:rsidR="006777B4" w:rsidRPr="006777B4">
        <w:rPr>
          <w:rFonts w:ascii="Open Sans" w:hAnsi="Open Sans"/>
        </w:rPr>
        <w:t xml:space="preserve">(T-statistic = 3.094 &gt; 1.96, p-value = 0.002 &lt; 0.05). </w:t>
      </w:r>
      <w:r>
        <w:rPr>
          <w:rFonts w:ascii="Open Sans" w:hAnsi="Open Sans"/>
          <w:lang w:val="en-US"/>
        </w:rPr>
        <w:t>To put it another way, CSR strengthens the positive impact that ROE has on the company’s value. The gain may be partially ascribed to CSR’s capacity to influence financial choices. Investors seeking socially aware investments may be drawn to a company that participates in social responsibility initiatives. If a comp</w:t>
      </w:r>
      <w:r w:rsidR="00B90599">
        <w:rPr>
          <w:rFonts w:ascii="Open Sans" w:hAnsi="Open Sans"/>
          <w:lang w:val="en-US"/>
        </w:rPr>
        <w:t>a</w:t>
      </w:r>
      <w:r>
        <w:rPr>
          <w:rFonts w:ascii="Open Sans" w:hAnsi="Open Sans"/>
          <w:lang w:val="en-US"/>
        </w:rPr>
        <w:t xml:space="preserve">ny has a return on equity (ROE) </w:t>
      </w:r>
      <w:r w:rsidR="00B90599">
        <w:rPr>
          <w:rFonts w:ascii="Open Sans" w:hAnsi="Open Sans"/>
          <w:lang w:val="en-US"/>
        </w:rPr>
        <w:t xml:space="preserve">and a strong commitment to corporate social responsibility (CSR), it could be able to attract additional investors. The emphasis on CSR transparency aligns with the growing importance of CSR reporting. Transparency in company report about their corporate social responsibility (CSR) activities is becoming more anticipated. </w:t>
      </w:r>
      <w:r w:rsidR="006777B4" w:rsidRPr="006777B4">
        <w:rPr>
          <w:rFonts w:ascii="Open Sans" w:hAnsi="Open Sans"/>
        </w:rPr>
        <w:t>These findi</w:t>
      </w:r>
      <w:r w:rsidR="00B90599">
        <w:rPr>
          <w:rFonts w:ascii="Open Sans" w:hAnsi="Open Sans"/>
        </w:rPr>
        <w:t>ngs are consistent with</w:t>
      </w:r>
      <w:r w:rsidR="006777B4" w:rsidRPr="006777B4">
        <w:rPr>
          <w:rFonts w:ascii="Open Sans" w:hAnsi="Open Sans"/>
        </w:rPr>
        <w:t xml:space="preserve"> research by Anggraini &amp; Asyik (2022),</w:t>
      </w:r>
      <w:r w:rsidR="00B90599">
        <w:rPr>
          <w:rFonts w:ascii="Open Sans" w:hAnsi="Open Sans"/>
        </w:rPr>
        <w:t xml:space="preserve"> </w:t>
      </w:r>
      <w:r w:rsidR="006777B4" w:rsidRPr="006777B4">
        <w:rPr>
          <w:rFonts w:ascii="Open Sans" w:hAnsi="Open Sans"/>
        </w:rPr>
        <w:t>Nuansari et al. (2020),</w:t>
      </w:r>
      <w:r w:rsidR="00B90599">
        <w:rPr>
          <w:rFonts w:ascii="Open Sans" w:hAnsi="Open Sans"/>
          <w:lang w:val="en-US"/>
        </w:rPr>
        <w:t xml:space="preserve"> and</w:t>
      </w:r>
      <w:r w:rsidR="00B90599" w:rsidRPr="00B90599">
        <w:rPr>
          <w:rFonts w:ascii="Open Sans" w:hAnsi="Open Sans"/>
        </w:rPr>
        <w:t xml:space="preserve"> </w:t>
      </w:r>
      <w:r w:rsidR="00B90599">
        <w:rPr>
          <w:rFonts w:ascii="Open Sans" w:hAnsi="Open Sans"/>
        </w:rPr>
        <w:t>Lutfiah &amp; Pangestuti (2023</w:t>
      </w:r>
      <w:r w:rsidR="00B90599">
        <w:rPr>
          <w:rFonts w:ascii="Open Sans" w:hAnsi="Open Sans"/>
          <w:lang w:val="en-US"/>
        </w:rPr>
        <w:t>) which found that CSR improves the relationship between ROE and company’s value.</w:t>
      </w:r>
    </w:p>
    <w:p w14:paraId="2269F9C9" w14:textId="77777777" w:rsidR="006777B4" w:rsidRPr="006777B4" w:rsidRDefault="006777B4" w:rsidP="006777B4">
      <w:pPr>
        <w:ind w:firstLine="720"/>
        <w:jc w:val="both"/>
        <w:rPr>
          <w:rFonts w:ascii="Open Sans" w:hAnsi="Open Sans"/>
          <w:b/>
        </w:rPr>
      </w:pPr>
    </w:p>
    <w:p w14:paraId="56A0514F" w14:textId="77777777" w:rsidR="0017624A" w:rsidRPr="006777B4" w:rsidRDefault="00AC43BA" w:rsidP="00AC43BA">
      <w:pPr>
        <w:pStyle w:val="Heading1"/>
        <w:rPr>
          <w:rFonts w:ascii="Open Sans" w:eastAsia="Open Sans" w:hAnsi="Open Sans"/>
          <w:szCs w:val="24"/>
        </w:rPr>
      </w:pPr>
      <w:r w:rsidRPr="006777B4">
        <w:rPr>
          <w:rFonts w:ascii="Open Sans" w:eastAsia="Open Sans" w:hAnsi="Open Sans"/>
          <w:szCs w:val="24"/>
        </w:rPr>
        <w:t>CONCLUSION</w:t>
      </w:r>
    </w:p>
    <w:p w14:paraId="48BE6B21" w14:textId="04509CF5" w:rsidR="009E0527" w:rsidRDefault="009E0527" w:rsidP="006777B4">
      <w:pPr>
        <w:ind w:firstLine="720"/>
        <w:jc w:val="both"/>
        <w:rPr>
          <w:rFonts w:ascii="Open Sans" w:hAnsi="Open Sans"/>
        </w:rPr>
      </w:pPr>
      <w:r>
        <w:rPr>
          <w:rFonts w:ascii="Open Sans" w:hAnsi="Open Sans"/>
        </w:rPr>
        <w:t xml:space="preserve"> </w:t>
      </w:r>
      <w:r w:rsidRPr="006B526E">
        <w:rPr>
          <w:rFonts w:ascii="Open Sans" w:hAnsi="Open Sans"/>
        </w:rPr>
        <w:t>The study analyzed the effects of CSR on the company's value during the 2013 and 2022 quarters. It found that the use of CSR can weaken or strengthen the company's ROE. One of the main findings of the study is that Return on Assets is a profitable and important factor that affects a company's overall value.</w:t>
      </w:r>
      <w:r w:rsidRPr="006B526E">
        <w:rPr>
          <w:rFonts w:ascii="Open Sans" w:hAnsi="Open Sans"/>
        </w:rPr>
        <w:t xml:space="preserve"> </w:t>
      </w:r>
      <w:r w:rsidRPr="006B526E">
        <w:rPr>
          <w:rFonts w:ascii="Open Sans" w:hAnsi="Open Sans"/>
        </w:rPr>
        <w:t>Return on Equity exhibits a favorable and powerful effect on a company’s overall worth. Its significant p value of 0.0005, as well as its T statistic's greater limit of 2.809, demonstrate this. In addition to this, the study also noted that CSR's moderating effect on the link between a company's worth and ROA is evidenced.</w:t>
      </w:r>
      <w:r w:rsidRPr="006B526E">
        <w:rPr>
          <w:rFonts w:ascii="Open Sans" w:hAnsi="Open Sans"/>
        </w:rPr>
        <w:t xml:space="preserve"> </w:t>
      </w:r>
      <w:r w:rsidRPr="006B526E">
        <w:rPr>
          <w:rFonts w:ascii="Open Sans" w:hAnsi="Open Sans"/>
        </w:rPr>
        <w:t>The study also found that using CSR can reduce the effect of ROE on an organization's value. In addition, through a moderate T-statistics, it was able to show that this factor has a negative impact on the link between an organization's worth and its ROA.</w:t>
      </w:r>
    </w:p>
    <w:p w14:paraId="6792F711" w14:textId="77777777" w:rsidR="009E0527" w:rsidRDefault="009E0527" w:rsidP="006777B4">
      <w:pPr>
        <w:ind w:firstLine="720"/>
        <w:jc w:val="both"/>
        <w:rPr>
          <w:rFonts w:ascii="Open Sans" w:hAnsi="Open Sans"/>
        </w:rPr>
      </w:pPr>
    </w:p>
    <w:p w14:paraId="5928B2D7" w14:textId="77777777" w:rsidR="009E0527" w:rsidRDefault="009E0527" w:rsidP="006777B4">
      <w:pPr>
        <w:ind w:firstLine="720"/>
        <w:jc w:val="both"/>
        <w:rPr>
          <w:rFonts w:ascii="Open Sans" w:hAnsi="Open Sans"/>
        </w:rPr>
      </w:pPr>
    </w:p>
    <w:p w14:paraId="09A71439" w14:textId="77777777" w:rsidR="009E0527" w:rsidRDefault="009E0527" w:rsidP="006777B4">
      <w:pPr>
        <w:ind w:firstLine="720"/>
        <w:jc w:val="both"/>
        <w:rPr>
          <w:rFonts w:ascii="Open Sans" w:hAnsi="Open Sans"/>
        </w:rPr>
      </w:pPr>
    </w:p>
    <w:p w14:paraId="71DE2329" w14:textId="77777777" w:rsidR="009E0527" w:rsidRPr="006777B4" w:rsidRDefault="009E0527" w:rsidP="006777B4">
      <w:pPr>
        <w:ind w:firstLine="720"/>
        <w:jc w:val="both"/>
        <w:rPr>
          <w:rFonts w:ascii="Open Sans" w:hAnsi="Open Sans"/>
        </w:rPr>
      </w:pPr>
    </w:p>
    <w:p w14:paraId="6F3EA243" w14:textId="77777777" w:rsidR="006777B4" w:rsidRPr="006777B4" w:rsidRDefault="006777B4" w:rsidP="006777B4">
      <w:pPr>
        <w:ind w:firstLine="720"/>
        <w:jc w:val="both"/>
        <w:rPr>
          <w:rFonts w:ascii="Open Sans" w:hAnsi="Open Sans"/>
          <w:b/>
        </w:rPr>
      </w:pPr>
    </w:p>
    <w:p w14:paraId="50E3E3A4" w14:textId="77777777" w:rsidR="0017624A" w:rsidRPr="00E83F57" w:rsidRDefault="00AC43BA" w:rsidP="00AC43BA">
      <w:pPr>
        <w:pStyle w:val="Heading1"/>
        <w:rPr>
          <w:rFonts w:ascii="Open Sans" w:eastAsia="Open Sans" w:hAnsi="Open Sans"/>
          <w:szCs w:val="24"/>
        </w:rPr>
      </w:pPr>
      <w:r w:rsidRPr="00E83F57">
        <w:rPr>
          <w:rFonts w:ascii="Open Sans" w:eastAsia="Open Sans" w:hAnsi="Open Sans"/>
          <w:szCs w:val="24"/>
        </w:rPr>
        <w:t>REFERENCES</w:t>
      </w:r>
    </w:p>
    <w:bookmarkStart w:id="5" w:name="_heading=h.3znysh7" w:colFirst="0" w:colLast="0"/>
    <w:bookmarkEnd w:id="5"/>
    <w:p w14:paraId="51A0FBCB"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rPr>
        <w:fldChar w:fldCharType="begin" w:fldLock="1"/>
      </w:r>
      <w:r w:rsidRPr="00EA75E8">
        <w:rPr>
          <w:rFonts w:ascii="Open Sans" w:hAnsi="Open Sans"/>
        </w:rPr>
        <w:instrText xml:space="preserve">ADDIN Mendeley Bibliography CSL_BIBLIOGRAPHY </w:instrText>
      </w:r>
      <w:r w:rsidRPr="00EA75E8">
        <w:rPr>
          <w:rFonts w:ascii="Open Sans" w:hAnsi="Open Sans"/>
        </w:rPr>
        <w:fldChar w:fldCharType="separate"/>
      </w:r>
      <w:r w:rsidRPr="00EA75E8">
        <w:rPr>
          <w:rFonts w:ascii="Open Sans" w:hAnsi="Open Sans"/>
          <w:noProof/>
        </w:rPr>
        <w:t xml:space="preserve">Ali, J., &amp; Faroji, R. (2021). Pengaruh Profitabilitas Terhadap Nilai Perusahaan (Studi Empiris Pada Perusahaan Sektor Industri Barang Konsumsi Di Bursa Efek Indonesia Tahun 2017-2019). </w:t>
      </w:r>
      <w:r w:rsidRPr="00EA75E8">
        <w:rPr>
          <w:rFonts w:ascii="Open Sans" w:hAnsi="Open Sans"/>
          <w:i/>
          <w:iCs/>
          <w:noProof/>
        </w:rPr>
        <w:t>Jurnal Neraca Peradaban</w:t>
      </w:r>
      <w:r w:rsidRPr="00EA75E8">
        <w:rPr>
          <w:rFonts w:ascii="Open Sans" w:hAnsi="Open Sans"/>
          <w:noProof/>
        </w:rPr>
        <w:t xml:space="preserve">, </w:t>
      </w:r>
      <w:r w:rsidRPr="00EA75E8">
        <w:rPr>
          <w:rFonts w:ascii="Open Sans" w:hAnsi="Open Sans"/>
          <w:i/>
          <w:iCs/>
          <w:noProof/>
        </w:rPr>
        <w:t>1</w:t>
      </w:r>
      <w:r w:rsidRPr="00EA75E8">
        <w:rPr>
          <w:rFonts w:ascii="Open Sans" w:hAnsi="Open Sans"/>
          <w:noProof/>
        </w:rPr>
        <w:t>(2), 128–135.</w:t>
      </w:r>
    </w:p>
    <w:p w14:paraId="27E88632"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Andriani, S., &amp; Subardjo, A. (2017). Pengaruh kinerja keuangan terhadap nilai perusahaan dengan pengungkapan csr sebagai variabel moderasi. </w:t>
      </w:r>
      <w:r w:rsidRPr="00EA75E8">
        <w:rPr>
          <w:rFonts w:ascii="Open Sans" w:hAnsi="Open Sans"/>
          <w:i/>
          <w:iCs/>
          <w:noProof/>
        </w:rPr>
        <w:t xml:space="preserve">Jurnal Ilmu </w:t>
      </w:r>
      <w:r w:rsidRPr="00EA75E8">
        <w:rPr>
          <w:rFonts w:ascii="Open Sans" w:hAnsi="Open Sans"/>
          <w:i/>
          <w:iCs/>
          <w:noProof/>
        </w:rPr>
        <w:lastRenderedPageBreak/>
        <w:t>Dan Riset Akuntansi</w:t>
      </w:r>
      <w:r w:rsidRPr="00EA75E8">
        <w:rPr>
          <w:rFonts w:ascii="Open Sans" w:hAnsi="Open Sans"/>
          <w:noProof/>
        </w:rPr>
        <w:t xml:space="preserve">, </w:t>
      </w:r>
      <w:r w:rsidRPr="00EA75E8">
        <w:rPr>
          <w:rFonts w:ascii="Open Sans" w:hAnsi="Open Sans"/>
          <w:i/>
          <w:iCs/>
          <w:noProof/>
        </w:rPr>
        <w:t>6</w:t>
      </w:r>
      <w:r w:rsidRPr="00EA75E8">
        <w:rPr>
          <w:rFonts w:ascii="Open Sans" w:hAnsi="Open Sans"/>
          <w:noProof/>
        </w:rPr>
        <w:t>(5), 1850–1864.</w:t>
      </w:r>
    </w:p>
    <w:p w14:paraId="1E70F1C6"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Anggraini, S. D., &amp; Asyik, N. F. (2022). Pengaruh Kinerja Keuangan Terhadap Nilai Perusahaan Dengan Pengungkapan CSR Sebagai Variabel Pemoderasi. </w:t>
      </w:r>
      <w:r w:rsidRPr="00EA75E8">
        <w:rPr>
          <w:rFonts w:ascii="Open Sans" w:hAnsi="Open Sans"/>
          <w:i/>
          <w:iCs/>
          <w:noProof/>
        </w:rPr>
        <w:t>Jurnal Ilmu Dan Riset Akuntansi</w:t>
      </w:r>
      <w:r w:rsidRPr="00EA75E8">
        <w:rPr>
          <w:rFonts w:ascii="Open Sans" w:hAnsi="Open Sans"/>
          <w:noProof/>
        </w:rPr>
        <w:t xml:space="preserve">, </w:t>
      </w:r>
      <w:r w:rsidRPr="00EA75E8">
        <w:rPr>
          <w:rFonts w:ascii="Open Sans" w:hAnsi="Open Sans"/>
          <w:i/>
          <w:iCs/>
          <w:noProof/>
        </w:rPr>
        <w:t>11</w:t>
      </w:r>
      <w:r w:rsidRPr="00EA75E8">
        <w:rPr>
          <w:rFonts w:ascii="Open Sans" w:hAnsi="Open Sans"/>
          <w:noProof/>
        </w:rPr>
        <w:t>(5), 1–23. Retrieved from http://jurnalmahasiswa.stiesia.ac.id/index.php/jira/article/view/4542/4541</w:t>
      </w:r>
    </w:p>
    <w:p w14:paraId="6DF808F3"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Apridawati, N. D., &amp; Hermanto, S. B. (2020). Pengaruh Corporate Social Responsibility, Profitabilitas,  Leverage Dan Ukuran Perusahaan Terhadap Nilai Perusahaan. </w:t>
      </w:r>
      <w:r w:rsidRPr="00EA75E8">
        <w:rPr>
          <w:rFonts w:ascii="Open Sans" w:hAnsi="Open Sans"/>
          <w:i/>
          <w:iCs/>
          <w:noProof/>
        </w:rPr>
        <w:t>Jurnal Ilmu Dan Riset Akuntansi</w:t>
      </w:r>
      <w:r w:rsidRPr="00EA75E8">
        <w:rPr>
          <w:rFonts w:ascii="Open Sans" w:hAnsi="Open Sans"/>
          <w:noProof/>
        </w:rPr>
        <w:t xml:space="preserve">, </w:t>
      </w:r>
      <w:r w:rsidRPr="00EA75E8">
        <w:rPr>
          <w:rFonts w:ascii="Open Sans" w:hAnsi="Open Sans"/>
          <w:i/>
          <w:iCs/>
          <w:noProof/>
        </w:rPr>
        <w:t>9</w:t>
      </w:r>
      <w:r w:rsidRPr="00EA75E8">
        <w:rPr>
          <w:rFonts w:ascii="Open Sans" w:hAnsi="Open Sans"/>
          <w:noProof/>
        </w:rPr>
        <w:t>(11), 1–23.</w:t>
      </w:r>
    </w:p>
    <w:p w14:paraId="5F7C522E"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Ardimas, W., &amp; wardoyo. (2014). Pengaruh kinerja keuangan dan Corporate sosial Responsibility terhadap nilai perushaan pada bank Go Public yang terdaftar di Bursa Efek Indonesia. </w:t>
      </w:r>
      <w:r w:rsidRPr="00EA75E8">
        <w:rPr>
          <w:rFonts w:ascii="Open Sans" w:hAnsi="Open Sans"/>
          <w:i/>
          <w:iCs/>
          <w:noProof/>
        </w:rPr>
        <w:t>BENEFIT Jurnal Manajemen Dan Bisnis</w:t>
      </w:r>
      <w:r w:rsidRPr="00EA75E8">
        <w:rPr>
          <w:rFonts w:ascii="Open Sans" w:hAnsi="Open Sans"/>
          <w:noProof/>
        </w:rPr>
        <w:t xml:space="preserve">, </w:t>
      </w:r>
      <w:r w:rsidRPr="00EA75E8">
        <w:rPr>
          <w:rFonts w:ascii="Open Sans" w:hAnsi="Open Sans"/>
          <w:i/>
          <w:iCs/>
          <w:noProof/>
        </w:rPr>
        <w:t>18</w:t>
      </w:r>
      <w:r w:rsidRPr="00EA75E8">
        <w:rPr>
          <w:rFonts w:ascii="Open Sans" w:hAnsi="Open Sans"/>
          <w:noProof/>
        </w:rPr>
        <w:t>, 57–66.</w:t>
      </w:r>
    </w:p>
    <w:p w14:paraId="3F698AF3"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Bulan, A. A. A. T., &amp; Astika, I. B. P. (2014). MODERASI CORPORATE SOCIAL RESPONSIBILITY TERHADAP PENGARUH KINERJA KEUANGAN PADA NILAI PERUSAHAAN Fakultas Ekonomi dan Bisnis Universitas Udayana , Bali , Indonesia dunia bisnis dan para investor lebih tertarik melihat secara komprehensif laporan Responsi. </w:t>
      </w:r>
      <w:r w:rsidRPr="00EA75E8">
        <w:rPr>
          <w:rFonts w:ascii="Open Sans" w:hAnsi="Open Sans"/>
          <w:i/>
          <w:iCs/>
          <w:noProof/>
        </w:rPr>
        <w:t>E-Jornal Akuntansi Universitas Udayana 8.2 ISSN: 2302 – 8556</w:t>
      </w:r>
      <w:r w:rsidRPr="00EA75E8">
        <w:rPr>
          <w:rFonts w:ascii="Open Sans" w:hAnsi="Open Sans"/>
          <w:noProof/>
        </w:rPr>
        <w:t xml:space="preserve">, </w:t>
      </w:r>
      <w:r w:rsidRPr="00EA75E8">
        <w:rPr>
          <w:rFonts w:ascii="Open Sans" w:hAnsi="Open Sans"/>
          <w:i/>
          <w:iCs/>
          <w:noProof/>
        </w:rPr>
        <w:t>8</w:t>
      </w:r>
      <w:r w:rsidRPr="00EA75E8">
        <w:rPr>
          <w:rFonts w:ascii="Open Sans" w:hAnsi="Open Sans"/>
          <w:noProof/>
        </w:rPr>
        <w:t>(2), 136–151.</w:t>
      </w:r>
    </w:p>
    <w:p w14:paraId="4F0456C1"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Chasanah, A. N., &amp; Adhi, D. K. (2017). Profitabilitas, Struktur Modal dan Likuiditas Pengaruhnya Terhadap Nilai Perusahaan. </w:t>
      </w:r>
      <w:r w:rsidRPr="00EA75E8">
        <w:rPr>
          <w:rFonts w:ascii="Open Sans" w:hAnsi="Open Sans"/>
          <w:i/>
          <w:iCs/>
          <w:noProof/>
        </w:rPr>
        <w:t>Fokus Ekonomi</w:t>
      </w:r>
      <w:r w:rsidRPr="00EA75E8">
        <w:rPr>
          <w:rFonts w:ascii="Open Sans" w:hAnsi="Open Sans"/>
          <w:noProof/>
        </w:rPr>
        <w:t xml:space="preserve">, </w:t>
      </w:r>
      <w:r w:rsidRPr="00EA75E8">
        <w:rPr>
          <w:rFonts w:ascii="Open Sans" w:hAnsi="Open Sans"/>
          <w:i/>
          <w:iCs/>
          <w:noProof/>
        </w:rPr>
        <w:t>12</w:t>
      </w:r>
      <w:r w:rsidRPr="00EA75E8">
        <w:rPr>
          <w:rFonts w:ascii="Open Sans" w:hAnsi="Open Sans"/>
          <w:noProof/>
        </w:rPr>
        <w:t>(2), 131–146.</w:t>
      </w:r>
    </w:p>
    <w:p w14:paraId="74811914"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Dhuhriansyah, M., &amp; Fadjrih Asyik, N. (2018). PENGARUH KINERJA KEUANGAN TERHADAP NILAI PERUSAHAAN DENGAN PENGUNGKAPAN CSR SEBAGAI VARIABEL PEMODERASI. </w:t>
      </w:r>
      <w:r w:rsidRPr="00EA75E8">
        <w:rPr>
          <w:rFonts w:ascii="Open Sans" w:hAnsi="Open Sans"/>
          <w:i/>
          <w:iCs/>
          <w:noProof/>
        </w:rPr>
        <w:t>Jurnal Ilmu Dan Riset Akuntansi</w:t>
      </w:r>
      <w:r w:rsidRPr="00EA75E8">
        <w:rPr>
          <w:rFonts w:ascii="Open Sans" w:hAnsi="Open Sans"/>
          <w:noProof/>
        </w:rPr>
        <w:t xml:space="preserve">, </w:t>
      </w:r>
      <w:r w:rsidRPr="00EA75E8">
        <w:rPr>
          <w:rFonts w:ascii="Open Sans" w:hAnsi="Open Sans"/>
          <w:i/>
          <w:iCs/>
          <w:noProof/>
        </w:rPr>
        <w:t>Vol.7 No.1</w:t>
      </w:r>
      <w:r w:rsidRPr="00EA75E8">
        <w:rPr>
          <w:rFonts w:ascii="Open Sans" w:hAnsi="Open Sans"/>
          <w:noProof/>
        </w:rPr>
        <w:t>.</w:t>
      </w:r>
    </w:p>
    <w:p w14:paraId="17AC14D8"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DP Rina Tjandrakirana, &amp; Meva, M. (2014). Pengaruh Kinerja Keuangan Terhadap Nilai Perusahaan Pada Perusahaan Manufaktur Yang Terdaftar Di Bursa Efek Indonesia. </w:t>
      </w:r>
      <w:r w:rsidRPr="00EA75E8">
        <w:rPr>
          <w:rFonts w:ascii="Open Sans" w:hAnsi="Open Sans"/>
          <w:i/>
          <w:iCs/>
          <w:noProof/>
        </w:rPr>
        <w:t>Parameter</w:t>
      </w:r>
      <w:r w:rsidRPr="00EA75E8">
        <w:rPr>
          <w:rFonts w:ascii="Open Sans" w:hAnsi="Open Sans"/>
          <w:noProof/>
        </w:rPr>
        <w:t xml:space="preserve">, </w:t>
      </w:r>
      <w:r w:rsidRPr="00EA75E8">
        <w:rPr>
          <w:rFonts w:ascii="Open Sans" w:hAnsi="Open Sans"/>
          <w:i/>
          <w:iCs/>
          <w:noProof/>
        </w:rPr>
        <w:t>4</w:t>
      </w:r>
      <w:r w:rsidRPr="00EA75E8">
        <w:rPr>
          <w:rFonts w:ascii="Open Sans" w:hAnsi="Open Sans"/>
          <w:noProof/>
        </w:rPr>
        <w:t>(1), 1–16. https://doi.org/10.37751/parameter.v4i1.31</w:t>
      </w:r>
    </w:p>
    <w:p w14:paraId="3FA8709F"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Dwi Rachmawati dan Dahlia Br. Pinem. (2015). 456-1147-1-Sp, </w:t>
      </w:r>
      <w:r w:rsidRPr="00EA75E8">
        <w:rPr>
          <w:rFonts w:ascii="Open Sans" w:hAnsi="Open Sans"/>
          <w:i/>
          <w:iCs/>
          <w:noProof/>
        </w:rPr>
        <w:t>18</w:t>
      </w:r>
      <w:r w:rsidRPr="00EA75E8">
        <w:rPr>
          <w:rFonts w:ascii="Open Sans" w:hAnsi="Open Sans"/>
          <w:noProof/>
        </w:rPr>
        <w:t>, 1–18.</w:t>
      </w:r>
    </w:p>
    <w:p w14:paraId="3BF5488C"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Fajri, F. N., &amp; Asyik, N. F. (2022). Pengaruh Kinerja Keuangan Terhadap Reaksi Pasar Dengan Corporate Social Responsibility Sebagai Variabel Moderating. </w:t>
      </w:r>
      <w:r w:rsidRPr="00EA75E8">
        <w:rPr>
          <w:rFonts w:ascii="Open Sans" w:hAnsi="Open Sans"/>
          <w:i/>
          <w:iCs/>
          <w:noProof/>
        </w:rPr>
        <w:t>Jurnal Ilmiah Akuntansi Dan Keuangan (JIAKu)</w:t>
      </w:r>
      <w:r w:rsidRPr="00EA75E8">
        <w:rPr>
          <w:rFonts w:ascii="Open Sans" w:hAnsi="Open Sans"/>
          <w:noProof/>
        </w:rPr>
        <w:t xml:space="preserve">, </w:t>
      </w:r>
      <w:r w:rsidRPr="00EA75E8">
        <w:rPr>
          <w:rFonts w:ascii="Open Sans" w:hAnsi="Open Sans"/>
          <w:i/>
          <w:iCs/>
          <w:noProof/>
        </w:rPr>
        <w:t>1</w:t>
      </w:r>
      <w:r w:rsidRPr="00EA75E8">
        <w:rPr>
          <w:rFonts w:ascii="Open Sans" w:hAnsi="Open Sans"/>
          <w:noProof/>
        </w:rPr>
        <w:t>(2), 120–141. https://doi.org/10.24034/jiaku.v1i2.5348</w:t>
      </w:r>
    </w:p>
    <w:p w14:paraId="4BECF2F5"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Fauziah Alfianita, N., Nur Sulistiyowati, L., &amp; Saputra, A. (2022). SIMBA SEMINAR INOVASI MANAJEMEN BISNIS DAN AKUNTANSI 4 Seminar Inovasi Manajemen Bisnis dan Akuntansi (SIMBA) 4 Fakultas Ekonomi dan Bisnis Universitas PGRI Madiun PENGARUH RETURN ON ASSETS (ROA), NET INTEREST MARGIN (NIM) DAN LOAN TO DEPOSIT RATIO (LDR) . </w:t>
      </w:r>
      <w:r w:rsidRPr="00EA75E8">
        <w:rPr>
          <w:rFonts w:ascii="Open Sans" w:hAnsi="Open Sans"/>
          <w:i/>
          <w:iCs/>
          <w:noProof/>
        </w:rPr>
        <w:t xml:space="preserve">Seminar Inovasi Manajemen Bisnis Dan </w:t>
      </w:r>
      <w:r w:rsidRPr="00EA75E8">
        <w:rPr>
          <w:rFonts w:ascii="Open Sans" w:hAnsi="Open Sans"/>
          <w:i/>
          <w:iCs/>
          <w:noProof/>
        </w:rPr>
        <w:lastRenderedPageBreak/>
        <w:t>Akuntansi (SIMBA) 4</w:t>
      </w:r>
      <w:r w:rsidRPr="00EA75E8">
        <w:rPr>
          <w:rFonts w:ascii="Open Sans" w:hAnsi="Open Sans"/>
          <w:noProof/>
        </w:rPr>
        <w:t>, (September 2022). Retrieved from www.investor.id</w:t>
      </w:r>
    </w:p>
    <w:p w14:paraId="5C318183"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Ghozali, I. (2021). </w:t>
      </w:r>
      <w:r w:rsidRPr="00EA75E8">
        <w:rPr>
          <w:rFonts w:ascii="Open Sans" w:hAnsi="Open Sans"/>
          <w:i/>
          <w:iCs/>
          <w:noProof/>
        </w:rPr>
        <w:t>Partial Least Squares Konsep, Teknik, dan Aplikasi menggunakan Program SmartPLS 3.2.9 untuk Penelitian Empiris</w:t>
      </w:r>
      <w:r w:rsidRPr="00EA75E8">
        <w:rPr>
          <w:rFonts w:ascii="Open Sans" w:hAnsi="Open Sans"/>
          <w:noProof/>
        </w:rPr>
        <w:t xml:space="preserve"> (Edisi 3). Semarang: Badan Penerbit Universitas Diponegoro.</w:t>
      </w:r>
    </w:p>
    <w:p w14:paraId="724256A1"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Girsang, P. G. J. G., &amp; Kery Utami. (2022). Analisis Nilai Perusahaan Pada BUMN Sektor Infrastruktur. </w:t>
      </w:r>
      <w:r w:rsidRPr="00EA75E8">
        <w:rPr>
          <w:rFonts w:ascii="Open Sans" w:hAnsi="Open Sans"/>
          <w:i/>
          <w:iCs/>
          <w:noProof/>
        </w:rPr>
        <w:t>Jurnal Manajemen Dan Organisasi</w:t>
      </w:r>
      <w:r w:rsidRPr="00EA75E8">
        <w:rPr>
          <w:rFonts w:ascii="Open Sans" w:hAnsi="Open Sans"/>
          <w:noProof/>
        </w:rPr>
        <w:t xml:space="preserve">, </w:t>
      </w:r>
      <w:r w:rsidRPr="00EA75E8">
        <w:rPr>
          <w:rFonts w:ascii="Open Sans" w:hAnsi="Open Sans"/>
          <w:i/>
          <w:iCs/>
          <w:noProof/>
        </w:rPr>
        <w:t>13</w:t>
      </w:r>
      <w:r w:rsidRPr="00EA75E8">
        <w:rPr>
          <w:rFonts w:ascii="Open Sans" w:hAnsi="Open Sans"/>
          <w:noProof/>
        </w:rPr>
        <w:t>(1), 94–109. https://doi.org/10.29244/jmo.v13i1.39805</w:t>
      </w:r>
    </w:p>
    <w:p w14:paraId="760248BC"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Halimah, S. N., &amp; Komariah, E. (2017). Pengaruh Roa, Car, Npl, Ldr, Bopo Terhadap Nilai Perusahaan Bank Umum. </w:t>
      </w:r>
      <w:r w:rsidRPr="00EA75E8">
        <w:rPr>
          <w:rFonts w:ascii="Open Sans" w:hAnsi="Open Sans"/>
          <w:i/>
          <w:iCs/>
          <w:noProof/>
        </w:rPr>
        <w:t>JURNAL AKUNTANSI, EKONOMI Dan MANAJEMEN BISNIS</w:t>
      </w:r>
      <w:r w:rsidRPr="00EA75E8">
        <w:rPr>
          <w:rFonts w:ascii="Open Sans" w:hAnsi="Open Sans"/>
          <w:noProof/>
        </w:rPr>
        <w:t xml:space="preserve">, </w:t>
      </w:r>
      <w:r w:rsidRPr="00EA75E8">
        <w:rPr>
          <w:rFonts w:ascii="Open Sans" w:hAnsi="Open Sans"/>
          <w:i/>
          <w:iCs/>
          <w:noProof/>
        </w:rPr>
        <w:t>5</w:t>
      </w:r>
      <w:r w:rsidRPr="00EA75E8">
        <w:rPr>
          <w:rFonts w:ascii="Open Sans" w:hAnsi="Open Sans"/>
          <w:noProof/>
        </w:rPr>
        <w:t>(1), 14. https://doi.org/10.30871/jaemb.v5i1.448</w:t>
      </w:r>
    </w:p>
    <w:p w14:paraId="50AD4404"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Lumoly, S., Murni, S., &amp; Untu, V. N. (2018). PENGARUH LIKUIDITAS, UKURAN PERUSAHAAN DAN PROFITABILITAS TERHADAP NILAI PERUSAHAAN (Studi pada Perusahaan Logam dan Sejenisnya yang Terdaftar di Bursa Efek Indonesia). </w:t>
      </w:r>
      <w:r w:rsidRPr="00EA75E8">
        <w:rPr>
          <w:rFonts w:ascii="Open Sans" w:hAnsi="Open Sans"/>
          <w:i/>
          <w:iCs/>
          <w:noProof/>
        </w:rPr>
        <w:t>Jurnal EMBA : Jurnal Riset Ekonomi, Manajemen, Bisnis Dan Akuntansi</w:t>
      </w:r>
      <w:r w:rsidRPr="00EA75E8">
        <w:rPr>
          <w:rFonts w:ascii="Open Sans" w:hAnsi="Open Sans"/>
          <w:noProof/>
        </w:rPr>
        <w:t xml:space="preserve">, </w:t>
      </w:r>
      <w:r w:rsidRPr="00EA75E8">
        <w:rPr>
          <w:rFonts w:ascii="Open Sans" w:hAnsi="Open Sans"/>
          <w:i/>
          <w:iCs/>
          <w:noProof/>
        </w:rPr>
        <w:t>6</w:t>
      </w:r>
      <w:r w:rsidRPr="00EA75E8">
        <w:rPr>
          <w:rFonts w:ascii="Open Sans" w:hAnsi="Open Sans"/>
          <w:noProof/>
        </w:rPr>
        <w:t>. https://doi.org/10.35794/emba.v10i2.39399</w:t>
      </w:r>
    </w:p>
    <w:p w14:paraId="221720B3"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Lutfiah, S. Q., &amp; Pangestuti, D. C. (2023). Pengaruh Kebijakan Dividen, Inflasi, dan Profitabilitas Terhadap Nilai Perusahaan Dengan CSR Sebagai Moderasi. </w:t>
      </w:r>
      <w:r w:rsidRPr="00EA75E8">
        <w:rPr>
          <w:rFonts w:ascii="Open Sans" w:hAnsi="Open Sans"/>
          <w:i/>
          <w:iCs/>
          <w:noProof/>
        </w:rPr>
        <w:t>AKUNTABEL: Jurnal Akuntansi Dan Keuangan</w:t>
      </w:r>
      <w:r w:rsidRPr="00EA75E8">
        <w:rPr>
          <w:rFonts w:ascii="Open Sans" w:hAnsi="Open Sans"/>
          <w:noProof/>
        </w:rPr>
        <w:t xml:space="preserve">, </w:t>
      </w:r>
      <w:r w:rsidRPr="00EA75E8">
        <w:rPr>
          <w:rFonts w:ascii="Open Sans" w:hAnsi="Open Sans"/>
          <w:i/>
          <w:iCs/>
          <w:noProof/>
        </w:rPr>
        <w:t>20</w:t>
      </w:r>
      <w:r w:rsidRPr="00EA75E8">
        <w:rPr>
          <w:rFonts w:ascii="Open Sans" w:hAnsi="Open Sans"/>
          <w:noProof/>
        </w:rPr>
        <w:t>(3), 388–402. Retrieved from https://journal.feb.unmul.ac.id/index.php/AKUNTABEL/article/view/13822</w:t>
      </w:r>
    </w:p>
    <w:p w14:paraId="6C4E454C"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Nuansari, S., Widiastuti, N. P. E., &amp; Mulyantini, S. (2020). Faktor Yang Mempengaruhi Nilai Perusahaan Dengan Corporate Social Responsibility sebagai Variabel Moderating. </w:t>
      </w:r>
      <w:r w:rsidRPr="00EA75E8">
        <w:rPr>
          <w:rFonts w:ascii="Open Sans" w:hAnsi="Open Sans"/>
          <w:i/>
          <w:iCs/>
          <w:noProof/>
        </w:rPr>
        <w:t>SALAM: Jurnal Sosial Dan Budaya Syar-I</w:t>
      </w:r>
      <w:r w:rsidRPr="00EA75E8">
        <w:rPr>
          <w:rFonts w:ascii="Open Sans" w:hAnsi="Open Sans"/>
          <w:noProof/>
        </w:rPr>
        <w:t xml:space="preserve">, </w:t>
      </w:r>
      <w:r w:rsidRPr="00EA75E8">
        <w:rPr>
          <w:rFonts w:ascii="Open Sans" w:hAnsi="Open Sans"/>
          <w:i/>
          <w:iCs/>
          <w:noProof/>
        </w:rPr>
        <w:t>7</w:t>
      </w:r>
      <w:r w:rsidRPr="00EA75E8">
        <w:rPr>
          <w:rFonts w:ascii="Open Sans" w:hAnsi="Open Sans"/>
          <w:noProof/>
        </w:rPr>
        <w:t>(4), 371–394. https://doi.org/10.15408/sjsbs.v7i4.15068</w:t>
      </w:r>
    </w:p>
    <w:p w14:paraId="11C55F63"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Pramono, H., Fakhruddin, I., &amp; Hapsari, I. (2022). Pengaruh Corporate Social Responsibility dan Kinerja Keuangan Terhadap Nilai Perusahaan. </w:t>
      </w:r>
      <w:r w:rsidRPr="00EA75E8">
        <w:rPr>
          <w:rFonts w:ascii="Open Sans" w:hAnsi="Open Sans"/>
          <w:i/>
          <w:iCs/>
          <w:noProof/>
        </w:rPr>
        <w:t>Ratio : Reviu Akuntansi Kontemporer Indonesia</w:t>
      </w:r>
      <w:r w:rsidRPr="00EA75E8">
        <w:rPr>
          <w:rFonts w:ascii="Open Sans" w:hAnsi="Open Sans"/>
          <w:noProof/>
        </w:rPr>
        <w:t xml:space="preserve">, </w:t>
      </w:r>
      <w:r w:rsidRPr="00EA75E8">
        <w:rPr>
          <w:rFonts w:ascii="Open Sans" w:hAnsi="Open Sans"/>
          <w:i/>
          <w:iCs/>
          <w:noProof/>
        </w:rPr>
        <w:t>3</w:t>
      </w:r>
      <w:r w:rsidRPr="00EA75E8">
        <w:rPr>
          <w:rFonts w:ascii="Open Sans" w:hAnsi="Open Sans"/>
          <w:noProof/>
        </w:rPr>
        <w:t>(2), 78. https://doi.org/10.30595/ratio.v3i2.13751</w:t>
      </w:r>
    </w:p>
    <w:p w14:paraId="5BE9064C"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Prena, G. Das, &amp; Muliyawan, I. G. I. (2020). Pengaruh Kinerja Keungan Terhadap Nilai Perusahaan Dengan Pengungkapan Corporate Social Responsibility Sebagai Variabel Pemoderasi. </w:t>
      </w:r>
      <w:r w:rsidRPr="00EA75E8">
        <w:rPr>
          <w:rFonts w:ascii="Open Sans" w:hAnsi="Open Sans"/>
          <w:i/>
          <w:iCs/>
          <w:noProof/>
        </w:rPr>
        <w:t>Wacana Ekonomi (Jurnal Ekonomi, Bisnis Dan Akuntansi)</w:t>
      </w:r>
      <w:r w:rsidRPr="00EA75E8">
        <w:rPr>
          <w:rFonts w:ascii="Open Sans" w:hAnsi="Open Sans"/>
          <w:noProof/>
        </w:rPr>
        <w:t xml:space="preserve">, </w:t>
      </w:r>
      <w:r w:rsidRPr="00EA75E8">
        <w:rPr>
          <w:rFonts w:ascii="Open Sans" w:hAnsi="Open Sans"/>
          <w:i/>
          <w:iCs/>
          <w:noProof/>
        </w:rPr>
        <w:t>19</w:t>
      </w:r>
      <w:r w:rsidRPr="00EA75E8">
        <w:rPr>
          <w:rFonts w:ascii="Open Sans" w:hAnsi="Open Sans"/>
          <w:noProof/>
        </w:rPr>
        <w:t>(2), 131–142. https://doi.org/10.25105/jat.v4i2.4838</w:t>
      </w:r>
    </w:p>
    <w:p w14:paraId="15A36755"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Sugiyono. (2019). </w:t>
      </w:r>
      <w:r w:rsidRPr="00EA75E8">
        <w:rPr>
          <w:rFonts w:ascii="Open Sans" w:hAnsi="Open Sans"/>
          <w:i/>
          <w:iCs/>
          <w:noProof/>
        </w:rPr>
        <w:t>Metode Penelitian Kuantitatif, Kualitatif, dan R&amp;D</w:t>
      </w:r>
      <w:r w:rsidRPr="00EA75E8">
        <w:rPr>
          <w:rFonts w:ascii="Open Sans" w:hAnsi="Open Sans"/>
          <w:noProof/>
        </w:rPr>
        <w:t xml:space="preserve"> (kedua). Bandung: Alfabeta CV.</w:t>
      </w:r>
    </w:p>
    <w:p w14:paraId="38BFD390"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Suhardiyah, S. I.-M. (2016). Peran Pengungkapan Corporate Social Responsibility dalam Meningkatkan Pengaruh Return on Equity terhadap Nilai Perusahaan. </w:t>
      </w:r>
      <w:r w:rsidRPr="00EA75E8">
        <w:rPr>
          <w:rFonts w:ascii="Open Sans" w:hAnsi="Open Sans"/>
          <w:i/>
          <w:iCs/>
          <w:noProof/>
        </w:rPr>
        <w:lastRenderedPageBreak/>
        <w:t>Majalah Ekonomi</w:t>
      </w:r>
      <w:r w:rsidRPr="00EA75E8">
        <w:rPr>
          <w:rFonts w:ascii="Open Sans" w:hAnsi="Open Sans"/>
          <w:noProof/>
        </w:rPr>
        <w:t>, (1411), 211–225. Retrieved from http://jurnal.unipasby.ac.id/index.php/majalah_ekonomi/article/view/409%0Ahttp://jurnal.unipasby.ac.id/index.php/majalah_ekonomi/article/download/409/489</w:t>
      </w:r>
    </w:p>
    <w:p w14:paraId="3224112E"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Suwardika, I. N. A., &amp; Mustanda, I. K. (2017). PENGARUH LEVERAGE, UKURAN PERUSAHAAN, PERTUMBUHAN PERUSAHAAN, DAN PROFITABILITAS TERHADAP NILAI PERUSAHAAN PADA PERUSAHAAN PROPERTI. </w:t>
      </w:r>
      <w:r w:rsidRPr="00EA75E8">
        <w:rPr>
          <w:rFonts w:ascii="Open Sans" w:hAnsi="Open Sans"/>
          <w:i/>
          <w:iCs/>
          <w:noProof/>
        </w:rPr>
        <w:t>Jurnal Riset Mahasiswa Manajemen</w:t>
      </w:r>
      <w:r w:rsidRPr="00EA75E8">
        <w:rPr>
          <w:rFonts w:ascii="Open Sans" w:hAnsi="Open Sans"/>
          <w:noProof/>
        </w:rPr>
        <w:t xml:space="preserve">, </w:t>
      </w:r>
      <w:r w:rsidRPr="00EA75E8">
        <w:rPr>
          <w:rFonts w:ascii="Open Sans" w:hAnsi="Open Sans"/>
          <w:i/>
          <w:iCs/>
          <w:noProof/>
        </w:rPr>
        <w:t>6</w:t>
      </w:r>
      <w:r w:rsidRPr="00EA75E8">
        <w:rPr>
          <w:rFonts w:ascii="Open Sans" w:hAnsi="Open Sans"/>
          <w:noProof/>
        </w:rPr>
        <w:t>(1), 1248–1277. https://doi.org/10.21067/jrmm.v6i1.4467</w:t>
      </w:r>
    </w:p>
    <w:p w14:paraId="2CB3F1B2" w14:textId="77777777" w:rsidR="00FD0C84" w:rsidRPr="00EA75E8" w:rsidRDefault="00FD0C84" w:rsidP="00FD0C84">
      <w:pPr>
        <w:widowControl w:val="0"/>
        <w:autoSpaceDE w:val="0"/>
        <w:autoSpaceDN w:val="0"/>
        <w:adjustRightInd w:val="0"/>
        <w:spacing w:after="200"/>
        <w:ind w:left="480" w:hanging="480"/>
        <w:jc w:val="both"/>
        <w:rPr>
          <w:rFonts w:ascii="Open Sans" w:hAnsi="Open Sans"/>
          <w:noProof/>
        </w:rPr>
      </w:pPr>
      <w:r w:rsidRPr="00EA75E8">
        <w:rPr>
          <w:rFonts w:ascii="Open Sans" w:hAnsi="Open Sans"/>
          <w:noProof/>
        </w:rPr>
        <w:t xml:space="preserve">Wulandari, C., &amp; Efendi, D. (2022). PENGARUH PROFITABILITAS TERHADAP NILAI PERUSAHAAN DENGAN CORPORATE SOCIAL RESPONSIBILITY SEBAGAI VARIABEL MODERASI. </w:t>
      </w:r>
      <w:r w:rsidRPr="00EA75E8">
        <w:rPr>
          <w:rFonts w:ascii="Open Sans" w:hAnsi="Open Sans"/>
          <w:i/>
          <w:iCs/>
          <w:noProof/>
        </w:rPr>
        <w:t>Jurnal Ilmu Dan Riset Akuntansi</w:t>
      </w:r>
      <w:r w:rsidRPr="00EA75E8">
        <w:rPr>
          <w:rFonts w:ascii="Open Sans" w:hAnsi="Open Sans"/>
          <w:noProof/>
        </w:rPr>
        <w:t xml:space="preserve">, </w:t>
      </w:r>
      <w:r w:rsidRPr="00EA75E8">
        <w:rPr>
          <w:rFonts w:ascii="Open Sans" w:hAnsi="Open Sans"/>
          <w:i/>
          <w:iCs/>
          <w:noProof/>
        </w:rPr>
        <w:t>11</w:t>
      </w:r>
      <w:r w:rsidRPr="00EA75E8">
        <w:rPr>
          <w:rFonts w:ascii="Open Sans" w:hAnsi="Open Sans"/>
          <w:noProof/>
        </w:rPr>
        <w:t>. https://doi.org/10.55182/jnp.v1i2.36</w:t>
      </w:r>
    </w:p>
    <w:p w14:paraId="0E4C074B" w14:textId="77777777" w:rsidR="0017624A" w:rsidRDefault="00FD0C84" w:rsidP="00FD0C84">
      <w:pPr>
        <w:keepNext/>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rPr>
      </w:pPr>
      <w:r w:rsidRPr="00EA75E8">
        <w:rPr>
          <w:rFonts w:ascii="Open Sans" w:hAnsi="Open Sans"/>
        </w:rPr>
        <w:fldChar w:fldCharType="end"/>
      </w:r>
    </w:p>
    <w:sectPr w:rsidR="0017624A">
      <w:type w:val="continuous"/>
      <w:pgSz w:w="10319" w:h="14571"/>
      <w:pgMar w:top="1418" w:right="1134" w:bottom="1418" w:left="1418" w:header="936"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72B16" w14:textId="77777777" w:rsidR="00795BA6" w:rsidRDefault="00795BA6">
      <w:r>
        <w:separator/>
      </w:r>
    </w:p>
  </w:endnote>
  <w:endnote w:type="continuationSeparator" w:id="0">
    <w:p w14:paraId="1CDCB3C9" w14:textId="77777777" w:rsidR="00795BA6" w:rsidRDefault="0079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37A80" w14:textId="77777777" w:rsidR="00EA25AD" w:rsidRDefault="00EA25AD">
    <w:pPr>
      <w:pBdr>
        <w:top w:val="none" w:sz="0" w:space="0" w:color="000000"/>
        <w:left w:val="none" w:sz="0" w:space="0" w:color="000000"/>
        <w:bottom w:val="none" w:sz="0" w:space="0" w:color="000000"/>
        <w:right w:val="none" w:sz="0" w:space="0" w:color="000000"/>
        <w:between w:val="none" w:sz="0" w:space="0" w:color="000000"/>
      </w:pBdr>
      <w:rPr>
        <w:rFonts w:ascii="Open Sans" w:eastAsia="Open Sans" w:hAnsi="Open Sans" w:cs="Open Sans"/>
        <w:b/>
        <w:color w:val="000000"/>
        <w:sz w:val="16"/>
        <w:szCs w:val="16"/>
      </w:rPr>
    </w:pPr>
    <w:r>
      <w:rPr>
        <w:rFonts w:ascii="Open Sans" w:eastAsia="Open Sans" w:hAnsi="Open Sans" w:cs="Open Sans"/>
        <w:b/>
        <w:color w:val="000000"/>
      </w:rPr>
      <w:fldChar w:fldCharType="begin"/>
    </w:r>
    <w:r>
      <w:rPr>
        <w:rFonts w:ascii="Open Sans" w:eastAsia="Open Sans" w:hAnsi="Open Sans" w:cs="Open Sans"/>
        <w:b/>
        <w:color w:val="000000"/>
      </w:rPr>
      <w:instrText>PAGE</w:instrText>
    </w:r>
    <w:r>
      <w:rPr>
        <w:rFonts w:ascii="Open Sans" w:eastAsia="Open Sans" w:hAnsi="Open Sans" w:cs="Open Sans"/>
        <w:b/>
        <w:color w:val="000000"/>
      </w:rPr>
      <w:fldChar w:fldCharType="separate"/>
    </w:r>
    <w:r w:rsidR="00CC452D">
      <w:rPr>
        <w:rFonts w:ascii="Open Sans" w:eastAsia="Open Sans" w:hAnsi="Open Sans" w:cs="Open Sans"/>
        <w:b/>
        <w:noProof/>
        <w:color w:val="000000"/>
      </w:rPr>
      <w:t>76</w:t>
    </w:r>
    <w:r>
      <w:rPr>
        <w:rFonts w:ascii="Open Sans" w:eastAsia="Open Sans" w:hAnsi="Open Sans" w:cs="Open Sans"/>
        <w:b/>
        <w:color w:val="000000"/>
      </w:rPr>
      <w:fldChar w:fldCharType="end"/>
    </w:r>
    <w:r>
      <w:rPr>
        <w:rFonts w:ascii="Open Sans" w:eastAsia="Open Sans" w:hAnsi="Open Sans" w:cs="Open Sans"/>
        <w:b/>
        <w:color w:val="000000"/>
      </w:rPr>
      <w:t xml:space="preserve"> | </w:t>
    </w:r>
    <w:r>
      <w:rPr>
        <w:rFonts w:ascii="Open Sans" w:eastAsia="Open Sans" w:hAnsi="Open Sans" w:cs="Open Sans"/>
        <w:color w:val="000000"/>
        <w:sz w:val="16"/>
        <w:szCs w:val="16"/>
      </w:rPr>
      <w:t>Pratama, O. S. A. et. al. (2021). The Influence of Innovation and Creativity of Traders.....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7BCDF" w14:textId="77777777" w:rsidR="00EA25AD" w:rsidRDefault="00EA25AD">
    <w:pPr>
      <w:pBdr>
        <w:top w:val="none" w:sz="0" w:space="0" w:color="000000"/>
        <w:left w:val="none" w:sz="0" w:space="0" w:color="000000"/>
        <w:bottom w:val="none" w:sz="0" w:space="0" w:color="000000"/>
        <w:right w:val="none" w:sz="0" w:space="0" w:color="000000"/>
        <w:between w:val="none" w:sz="0" w:space="0" w:color="000000"/>
      </w:pBdr>
      <w:jc w:val="right"/>
      <w:rPr>
        <w:rFonts w:ascii="Open Sans" w:eastAsia="Open Sans" w:hAnsi="Open Sans" w:cs="Open Sans"/>
        <w:color w:val="000000"/>
      </w:rPr>
    </w:pPr>
    <w:r>
      <w:rPr>
        <w:rFonts w:ascii="Open Sans" w:eastAsia="Open Sans" w:hAnsi="Open Sans" w:cs="Open Sans"/>
        <w:i/>
        <w:color w:val="000000"/>
        <w:sz w:val="16"/>
        <w:szCs w:val="16"/>
      </w:rPr>
      <w:t>Journal Bima (Busiiness, Management And Accountiing)</w:t>
    </w:r>
    <w:r>
      <w:rPr>
        <w:rFonts w:ascii="Open Sans" w:eastAsia="Open Sans" w:hAnsi="Open Sans" w:cs="Open Sans"/>
        <w:color w:val="000000"/>
        <w:sz w:val="16"/>
        <w:szCs w:val="16"/>
      </w:rPr>
      <w:t>, Vol. 2 No. 1 2020 page: 67 –</w:t>
    </w:r>
    <w:r>
      <w:rPr>
        <w:rFonts w:ascii="Open Sans" w:eastAsia="Open Sans" w:hAnsi="Open Sans" w:cs="Open Sans"/>
        <w:color w:val="000000"/>
      </w:rPr>
      <w:t xml:space="preserve"> </w:t>
    </w:r>
    <w:r>
      <w:rPr>
        <w:rFonts w:ascii="Open Sans" w:eastAsia="Open Sans" w:hAnsi="Open Sans" w:cs="Open Sans"/>
        <w:color w:val="000000"/>
        <w:sz w:val="16"/>
        <w:szCs w:val="16"/>
      </w:rPr>
      <w:t>82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Pr>
        <w:rFonts w:ascii="Open Sans" w:eastAsia="Open Sans" w:hAnsi="Open Sans" w:cs="Open Sans"/>
        <w:color w:val="000000"/>
      </w:rPr>
      <w:fldChar w:fldCharType="separate"/>
    </w:r>
    <w:r w:rsidR="00CC452D">
      <w:rPr>
        <w:rFonts w:ascii="Open Sans" w:eastAsia="Open Sans" w:hAnsi="Open Sans" w:cs="Open Sans"/>
        <w:noProof/>
        <w:color w:val="000000"/>
      </w:rPr>
      <w:t>75</w: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C4DFA" w14:textId="77777777" w:rsidR="00EA25AD" w:rsidRDefault="00EA25AD">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color w:val="000000"/>
      </w:rPr>
    </w:pPr>
  </w:p>
  <w:p w14:paraId="475851E7" w14:textId="77777777" w:rsidR="00EA25AD" w:rsidRDefault="00EA25AD">
    <w:pPr>
      <w:pBdr>
        <w:top w:val="none" w:sz="0" w:space="0" w:color="000000"/>
        <w:left w:val="none" w:sz="0" w:space="0" w:color="000000"/>
        <w:bottom w:val="none" w:sz="0" w:space="0" w:color="000000"/>
        <w:right w:val="none" w:sz="0" w:space="0" w:color="000000"/>
        <w:between w:val="none" w:sz="0" w:space="0" w:color="000000"/>
      </w:pBdr>
      <w:jc w:val="right"/>
      <w:rPr>
        <w:rFonts w:ascii="Open Sans" w:eastAsia="Open Sans" w:hAnsi="Open Sans" w:cs="Open Sans"/>
        <w:color w:val="000000"/>
      </w:rPr>
    </w:pPr>
    <w:r>
      <w:rPr>
        <w:rFonts w:ascii="Open Sans" w:eastAsia="Open Sans" w:hAnsi="Open Sans" w:cs="Open Sans"/>
        <w:i/>
        <w:color w:val="000000"/>
        <w:sz w:val="16"/>
        <w:szCs w:val="16"/>
      </w:rPr>
      <w:t>Journal Bima (Busiiness, Management And Accountiing)</w:t>
    </w:r>
    <w:r>
      <w:rPr>
        <w:rFonts w:ascii="Open Sans" w:eastAsia="Open Sans" w:hAnsi="Open Sans" w:cs="Open Sans"/>
        <w:color w:val="000000"/>
        <w:sz w:val="16"/>
        <w:szCs w:val="16"/>
      </w:rPr>
      <w:t>, Vol. 2 No. 1 2020 page: 67 –</w:t>
    </w:r>
    <w:r>
      <w:rPr>
        <w:rFonts w:ascii="Open Sans" w:eastAsia="Open Sans" w:hAnsi="Open Sans" w:cs="Open Sans"/>
        <w:color w:val="000000"/>
      </w:rPr>
      <w:t xml:space="preserve"> </w:t>
    </w:r>
    <w:r>
      <w:rPr>
        <w:rFonts w:ascii="Open Sans" w:eastAsia="Open Sans" w:hAnsi="Open Sans" w:cs="Open Sans"/>
        <w:color w:val="000000"/>
        <w:sz w:val="16"/>
        <w:szCs w:val="16"/>
      </w:rPr>
      <w:t>82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Pr>
        <w:rFonts w:ascii="Open Sans" w:eastAsia="Open Sans" w:hAnsi="Open Sans" w:cs="Open Sans"/>
        <w:color w:val="000000"/>
      </w:rPr>
      <w:fldChar w:fldCharType="separate"/>
    </w:r>
    <w:r w:rsidR="00CC452D">
      <w:rPr>
        <w:rFonts w:ascii="Open Sans" w:eastAsia="Open Sans" w:hAnsi="Open Sans" w:cs="Open Sans"/>
        <w:noProof/>
        <w:color w:val="000000"/>
      </w:rPr>
      <w:t>67</w: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8DCF6" w14:textId="77777777" w:rsidR="00795BA6" w:rsidRDefault="00795BA6">
      <w:r>
        <w:separator/>
      </w:r>
    </w:p>
  </w:footnote>
  <w:footnote w:type="continuationSeparator" w:id="0">
    <w:p w14:paraId="5EA013CA" w14:textId="77777777" w:rsidR="00795BA6" w:rsidRDefault="00795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77A5" w14:textId="77777777" w:rsidR="00EA25AD" w:rsidRDefault="00EA25AD">
    <w:pPr>
      <w:pBdr>
        <w:top w:val="none" w:sz="0" w:space="0" w:color="000000"/>
        <w:left w:val="none" w:sz="0" w:space="0" w:color="000000"/>
        <w:bottom w:val="none" w:sz="0" w:space="0" w:color="000000"/>
        <w:right w:val="none" w:sz="0" w:space="0" w:color="000000"/>
        <w:between w:val="none" w:sz="0" w:space="0" w:color="000000"/>
      </w:pBdr>
      <w:tabs>
        <w:tab w:val="right" w:pos="7768"/>
        <w:tab w:val="right" w:pos="8307"/>
      </w:tabs>
      <w:rPr>
        <w:rFonts w:ascii="Open Sans" w:eastAsia="Open Sans" w:hAnsi="Open Sans" w:cs="Open Sans"/>
        <w:color w:val="000000"/>
      </w:rPr>
    </w:pPr>
    <w:r>
      <w:rPr>
        <w:rFonts w:ascii="Open Sans" w:eastAsia="Open Sans" w:hAnsi="Open Sans" w:cs="Open Sans"/>
        <w:color w:val="000000"/>
      </w:rPr>
      <w:t>ISSN : 2721-2971                                                                                     e-ISSN : 2721-267X</w:t>
    </w:r>
  </w:p>
  <w:p w14:paraId="7FD2C5DC" w14:textId="77777777" w:rsidR="00EA25AD" w:rsidRDefault="00EA25AD">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F56FE" w14:textId="77777777" w:rsidR="00EA25AD" w:rsidRDefault="00EA25AD">
    <w:pPr>
      <w:pBdr>
        <w:top w:val="none" w:sz="0" w:space="0" w:color="000000"/>
        <w:left w:val="none" w:sz="0" w:space="0" w:color="000000"/>
        <w:bottom w:val="none" w:sz="0" w:space="0" w:color="000000"/>
        <w:right w:val="none" w:sz="0" w:space="0" w:color="000000"/>
        <w:between w:val="none" w:sz="0" w:space="0" w:color="000000"/>
      </w:pBdr>
      <w:tabs>
        <w:tab w:val="right" w:pos="7768"/>
        <w:tab w:val="right" w:pos="8307"/>
      </w:tabs>
      <w:rPr>
        <w:rFonts w:ascii="Open Sans" w:eastAsia="Open Sans" w:hAnsi="Open Sans" w:cs="Open Sans"/>
        <w:color w:val="000000"/>
      </w:rPr>
    </w:pPr>
    <w:r>
      <w:rPr>
        <w:rFonts w:ascii="Open Sans" w:eastAsia="Open Sans" w:hAnsi="Open Sans" w:cs="Open Sans"/>
        <w:color w:val="000000"/>
      </w:rPr>
      <w:t>ISSN : 2721-2971                                                                                 e-ISSN : 2721-267X</w:t>
    </w:r>
  </w:p>
  <w:p w14:paraId="4D391D3F" w14:textId="77777777" w:rsidR="00EA25AD" w:rsidRDefault="00EA25AD">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FACAE" w14:textId="77777777" w:rsidR="00EA25AD" w:rsidRDefault="00EA25A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D6B2C"/>
    <w:multiLevelType w:val="multilevel"/>
    <w:tmpl w:val="6A22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3081F"/>
    <w:multiLevelType w:val="hybridMultilevel"/>
    <w:tmpl w:val="DC76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B72DE"/>
    <w:multiLevelType w:val="multilevel"/>
    <w:tmpl w:val="0960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D1BD2"/>
    <w:multiLevelType w:val="hybridMultilevel"/>
    <w:tmpl w:val="A3521120"/>
    <w:lvl w:ilvl="0" w:tplc="9C48E5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93966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979684">
    <w:abstractNumId w:val="0"/>
  </w:num>
  <w:num w:numId="3" w16cid:durableId="1716655542">
    <w:abstractNumId w:val="2"/>
  </w:num>
  <w:num w:numId="4" w16cid:durableId="102875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yNjUwMrQ0NrQwNTRU0lEKTi0uzszPAykwrAUApWlbMCwAAAA="/>
  </w:docVars>
  <w:rsids>
    <w:rsidRoot w:val="0017624A"/>
    <w:rsid w:val="00002F7A"/>
    <w:rsid w:val="00072D36"/>
    <w:rsid w:val="00073145"/>
    <w:rsid w:val="0007460F"/>
    <w:rsid w:val="000848AD"/>
    <w:rsid w:val="000E7A87"/>
    <w:rsid w:val="0013520B"/>
    <w:rsid w:val="00173BE6"/>
    <w:rsid w:val="0017624A"/>
    <w:rsid w:val="001A5EDD"/>
    <w:rsid w:val="001B504F"/>
    <w:rsid w:val="001C4D81"/>
    <w:rsid w:val="001F7CCA"/>
    <w:rsid w:val="002012D1"/>
    <w:rsid w:val="002275A2"/>
    <w:rsid w:val="00263AA9"/>
    <w:rsid w:val="002A3E47"/>
    <w:rsid w:val="002A49D9"/>
    <w:rsid w:val="002B07E2"/>
    <w:rsid w:val="002F3AF8"/>
    <w:rsid w:val="00302F7B"/>
    <w:rsid w:val="0031529C"/>
    <w:rsid w:val="003438E6"/>
    <w:rsid w:val="003A2E4F"/>
    <w:rsid w:val="003C2BBF"/>
    <w:rsid w:val="003D3E9D"/>
    <w:rsid w:val="004003C3"/>
    <w:rsid w:val="00416563"/>
    <w:rsid w:val="00436F76"/>
    <w:rsid w:val="00474E13"/>
    <w:rsid w:val="00492E57"/>
    <w:rsid w:val="00497A5F"/>
    <w:rsid w:val="004C513A"/>
    <w:rsid w:val="004C597F"/>
    <w:rsid w:val="004E57F3"/>
    <w:rsid w:val="00530C07"/>
    <w:rsid w:val="00543B49"/>
    <w:rsid w:val="0055724C"/>
    <w:rsid w:val="005D54C8"/>
    <w:rsid w:val="005F32C7"/>
    <w:rsid w:val="00630686"/>
    <w:rsid w:val="0064618A"/>
    <w:rsid w:val="006748B7"/>
    <w:rsid w:val="006777B4"/>
    <w:rsid w:val="006908E8"/>
    <w:rsid w:val="006B526E"/>
    <w:rsid w:val="006D1028"/>
    <w:rsid w:val="007605AC"/>
    <w:rsid w:val="00763ADC"/>
    <w:rsid w:val="00785A80"/>
    <w:rsid w:val="00795BA6"/>
    <w:rsid w:val="007C76C7"/>
    <w:rsid w:val="00835295"/>
    <w:rsid w:val="00837D53"/>
    <w:rsid w:val="00846012"/>
    <w:rsid w:val="008538E8"/>
    <w:rsid w:val="00882794"/>
    <w:rsid w:val="00893A82"/>
    <w:rsid w:val="008B515A"/>
    <w:rsid w:val="008D1B46"/>
    <w:rsid w:val="008E659C"/>
    <w:rsid w:val="0090622E"/>
    <w:rsid w:val="00951E64"/>
    <w:rsid w:val="00957197"/>
    <w:rsid w:val="00970074"/>
    <w:rsid w:val="00981590"/>
    <w:rsid w:val="00992A38"/>
    <w:rsid w:val="00994161"/>
    <w:rsid w:val="009A397E"/>
    <w:rsid w:val="009A5DE4"/>
    <w:rsid w:val="009B3857"/>
    <w:rsid w:val="009E0527"/>
    <w:rsid w:val="009E397F"/>
    <w:rsid w:val="009F44EB"/>
    <w:rsid w:val="00A16D69"/>
    <w:rsid w:val="00A758C3"/>
    <w:rsid w:val="00A830D8"/>
    <w:rsid w:val="00A91019"/>
    <w:rsid w:val="00A952E5"/>
    <w:rsid w:val="00AC43BA"/>
    <w:rsid w:val="00AD712F"/>
    <w:rsid w:val="00B1227E"/>
    <w:rsid w:val="00B26CD5"/>
    <w:rsid w:val="00B62F3F"/>
    <w:rsid w:val="00B8389D"/>
    <w:rsid w:val="00B90599"/>
    <w:rsid w:val="00BC24DB"/>
    <w:rsid w:val="00BC4D52"/>
    <w:rsid w:val="00BC7177"/>
    <w:rsid w:val="00BC7B6A"/>
    <w:rsid w:val="00C06855"/>
    <w:rsid w:val="00C36357"/>
    <w:rsid w:val="00C910EC"/>
    <w:rsid w:val="00CC2844"/>
    <w:rsid w:val="00CC452D"/>
    <w:rsid w:val="00CC62E8"/>
    <w:rsid w:val="00CF0EA4"/>
    <w:rsid w:val="00D029AF"/>
    <w:rsid w:val="00D07E48"/>
    <w:rsid w:val="00D377D3"/>
    <w:rsid w:val="00D46C23"/>
    <w:rsid w:val="00DC4C77"/>
    <w:rsid w:val="00DD2553"/>
    <w:rsid w:val="00E14B32"/>
    <w:rsid w:val="00E5455C"/>
    <w:rsid w:val="00E71306"/>
    <w:rsid w:val="00E83F57"/>
    <w:rsid w:val="00E93235"/>
    <w:rsid w:val="00EA25AD"/>
    <w:rsid w:val="00EA75E8"/>
    <w:rsid w:val="00EB3F57"/>
    <w:rsid w:val="00EC0265"/>
    <w:rsid w:val="00EC51F4"/>
    <w:rsid w:val="00ED3766"/>
    <w:rsid w:val="00ED7A25"/>
    <w:rsid w:val="00EF0000"/>
    <w:rsid w:val="00F37C90"/>
    <w:rsid w:val="00F72BF9"/>
    <w:rsid w:val="00FD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2983"/>
  <w15:docId w15:val="{9CED0CB2-15ED-4641-A281-8A7FB66C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TICLE"/>
    <w:qFormat/>
  </w:style>
  <w:style w:type="paragraph" w:styleId="Heading1">
    <w:name w:val="heading 1"/>
    <w:next w:val="Normal"/>
    <w:qFormat/>
    <w:pPr>
      <w:keepNext/>
      <w:spacing w:after="240"/>
      <w:jc w:val="center"/>
      <w:outlineLvl w:val="0"/>
    </w:pPr>
    <w:rPr>
      <w:b/>
      <w:bCs/>
      <w:sz w:val="24"/>
    </w:rPr>
  </w:style>
  <w:style w:type="paragraph" w:styleId="Heading2">
    <w:name w:val="heading 2"/>
    <w:next w:val="Normal"/>
    <w:link w:val="Heading2Char"/>
    <w:qFormat/>
    <w:pPr>
      <w:keepNext/>
      <w:keepLines/>
      <w:spacing w:before="360" w:after="80"/>
      <w:outlineLvl w:val="1"/>
    </w:pPr>
    <w:rPr>
      <w:b/>
      <w:sz w:val="36"/>
      <w:szCs w:val="36"/>
    </w:rPr>
  </w:style>
  <w:style w:type="paragraph" w:styleId="Heading3">
    <w:name w:val="heading 3"/>
    <w:next w:val="Normal"/>
    <w:qFormat/>
    <w:pPr>
      <w:keepNext/>
      <w:spacing w:after="120"/>
      <w:outlineLvl w:val="2"/>
    </w:pPr>
    <w:rPr>
      <w:b/>
      <w:bCs/>
      <w:i/>
      <w:szCs w:val="36"/>
    </w:rPr>
  </w:style>
  <w:style w:type="paragraph" w:styleId="Heading4">
    <w:name w:val="heading 4"/>
    <w:next w:val="Normal"/>
    <w:qFormat/>
    <w:pPr>
      <w:keepNext/>
      <w:keepLines/>
      <w:spacing w:before="240" w:after="40"/>
      <w:outlineLvl w:val="3"/>
    </w:pPr>
    <w:rPr>
      <w:b/>
      <w:sz w:val="24"/>
      <w:szCs w:val="24"/>
    </w:rPr>
  </w:style>
  <w:style w:type="paragraph" w:styleId="Heading5">
    <w:name w:val="heading 5"/>
    <w:next w:val="Normal"/>
    <w:qFormat/>
    <w:pPr>
      <w:keepNext/>
      <w:keepLines/>
      <w:spacing w:before="220" w:after="40"/>
      <w:outlineLvl w:val="4"/>
    </w:pPr>
    <w:rPr>
      <w:b/>
      <w:sz w:val="22"/>
      <w:szCs w:val="22"/>
    </w:rPr>
  </w:style>
  <w:style w:type="paragraph" w:styleId="Heading6">
    <w:name w:val="heading 6"/>
    <w:next w:val="Normal"/>
    <w:qFormat/>
    <w:pPr>
      <w:keepNext/>
      <w:keepLines/>
      <w:spacing w:before="200" w:after="40"/>
      <w:outlineLvl w:val="5"/>
    </w:pPr>
    <w:rPr>
      <w:b/>
    </w:rPr>
  </w:style>
  <w:style w:type="paragraph" w:styleId="Heading9">
    <w:name w:val="heading 9"/>
    <w:basedOn w:val="NormalARTICLE"/>
    <w:next w:val="NormalARTICLE"/>
    <w:qFormat/>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pPr>
      <w:keepNext/>
      <w:keepLines/>
      <w:spacing w:before="480" w:after="120"/>
    </w:pPr>
    <w:rPr>
      <w:b/>
      <w:sz w:val="72"/>
      <w:szCs w:val="72"/>
    </w:rPr>
  </w:style>
  <w:style w:type="paragraph" w:customStyle="1" w:styleId="NormalARTICLE">
    <w:name w:val="Normal;ARTICLE"/>
    <w:qFormat/>
    <w:pPr>
      <w:suppressAutoHyphens/>
      <w:spacing w:line="240" w:lineRule="atLeast"/>
      <w:ind w:leftChars="-1" w:left="-1" w:hangingChars="1" w:hanging="1"/>
      <w:jc w:val="both"/>
      <w:textAlignment w:val="top"/>
      <w:outlineLvl w:val="0"/>
    </w:pPr>
    <w:rPr>
      <w:rFonts w:ascii="Open Sans" w:hAnsi="Open Sans"/>
      <w:position w:val="-1"/>
      <w:szCs w:val="24"/>
    </w:rPr>
  </w:style>
  <w:style w:type="paragraph" w:styleId="BalloonText">
    <w:name w:val="Balloon Text"/>
    <w:basedOn w:val="NormalARTICLE"/>
    <w:qFormat/>
    <w:rPr>
      <w:rFonts w:ascii="Tahoma" w:hAnsi="Tahoma" w:cs="Tahoma"/>
      <w:sz w:val="16"/>
      <w:szCs w:val="16"/>
    </w:rPr>
  </w:style>
  <w:style w:type="paragraph" w:styleId="BlockText">
    <w:name w:val="Block Text"/>
    <w:basedOn w:val="NormalARTICLE"/>
    <w:qFormat/>
    <w:pPr>
      <w:ind w:left="851" w:right="-432"/>
    </w:pPr>
  </w:style>
  <w:style w:type="paragraph" w:styleId="BodyText">
    <w:name w:val="Body Text"/>
    <w:basedOn w:val="NormalARTICLE"/>
    <w:qFormat/>
  </w:style>
  <w:style w:type="paragraph" w:styleId="BodyText2">
    <w:name w:val="Body Text 2"/>
    <w:basedOn w:val="NormalARTICLE"/>
    <w:qFormat/>
    <w:rPr>
      <w:rFonts w:ascii="Arial" w:hAnsi="Arial" w:cs="Arial"/>
      <w:b/>
      <w:bCs/>
    </w:rPr>
  </w:style>
  <w:style w:type="paragraph" w:styleId="BodyText3">
    <w:name w:val="Body Text 3"/>
    <w:basedOn w:val="NormalARTICLE"/>
    <w:qFormat/>
    <w:pPr>
      <w:jc w:val="center"/>
    </w:pPr>
    <w:rPr>
      <w:b/>
      <w:bCs/>
      <w:sz w:val="36"/>
      <w:szCs w:val="36"/>
    </w:rPr>
  </w:style>
  <w:style w:type="paragraph" w:styleId="BodyTextIndent">
    <w:name w:val="Body Text Indent"/>
    <w:basedOn w:val="NormalARTICLE"/>
    <w:qFormat/>
    <w:pPr>
      <w:spacing w:after="120"/>
      <w:ind w:left="360"/>
    </w:pPr>
  </w:style>
  <w:style w:type="paragraph" w:styleId="BodyTextIndent2">
    <w:name w:val="Body Text Indent 2"/>
    <w:basedOn w:val="NormalARTICLE"/>
    <w:qFormat/>
  </w:style>
  <w:style w:type="paragraph" w:styleId="BodyTextIndent3">
    <w:name w:val="Body Text Indent 3"/>
    <w:basedOn w:val="NormalARTICLE"/>
    <w:qFormat/>
    <w:rPr>
      <w:rFonts w:ascii="Arial" w:hAnsi="Arial" w:cs="Arial"/>
      <w:szCs w:val="20"/>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ARTICLE"/>
    <w:qFormat/>
    <w:pPr>
      <w:spacing w:after="160" w:line="240" w:lineRule="auto"/>
      <w:ind w:firstLine="0"/>
      <w:jc w:val="left"/>
    </w:pPr>
    <w:rPr>
      <w:rFonts w:ascii="Calibri" w:eastAsia="Calibri" w:hAnsi="Calibri"/>
      <w:szCs w:val="20"/>
      <w:lang w:val="en-US"/>
    </w:rPr>
  </w:style>
  <w:style w:type="paragraph" w:styleId="CommentSubject">
    <w:name w:val="annotation subject"/>
    <w:basedOn w:val="CommentText"/>
    <w:next w:val="CommentText"/>
    <w:qFormat/>
    <w:rPr>
      <w:b/>
      <w:bCs/>
    </w:rPr>
  </w:style>
  <w:style w:type="character" w:styleId="Emphasis">
    <w:name w:val="Emphasis"/>
    <w:qFormat/>
    <w:rPr>
      <w:i/>
      <w:iCs/>
      <w:w w:val="100"/>
      <w:position w:val="-1"/>
      <w:vertAlign w:val="baseline"/>
      <w:cs w:val="0"/>
    </w:rPr>
  </w:style>
  <w:style w:type="paragraph" w:styleId="EndnoteText">
    <w:name w:val="endnote text"/>
    <w:basedOn w:val="NormalARTICLE"/>
    <w:qFormat/>
    <w:rPr>
      <w:szCs w:val="20"/>
    </w:rPr>
  </w:style>
  <w:style w:type="character" w:styleId="FollowedHyperlink">
    <w:name w:val="FollowedHyperlink"/>
    <w:qFormat/>
    <w:rPr>
      <w:color w:val="800080"/>
      <w:w w:val="100"/>
      <w:position w:val="-1"/>
      <w:u w:val="single"/>
      <w:vertAlign w:val="baseline"/>
      <w:cs w:val="0"/>
    </w:rPr>
  </w:style>
  <w:style w:type="paragraph" w:styleId="Footer">
    <w:name w:val="footer"/>
    <w:basedOn w:val="NormalARTICLE"/>
    <w:qFormat/>
  </w:style>
  <w:style w:type="character" w:styleId="FootnoteReference">
    <w:name w:val="footnote reference"/>
    <w:qFormat/>
    <w:rPr>
      <w:w w:val="100"/>
      <w:position w:val="-1"/>
      <w:vertAlign w:val="superscript"/>
      <w:cs w:val="0"/>
    </w:rPr>
  </w:style>
  <w:style w:type="paragraph" w:styleId="FootnoteText">
    <w:name w:val="footnote text"/>
    <w:basedOn w:val="NormalARTICLE"/>
    <w:qFormat/>
    <w:rPr>
      <w:szCs w:val="20"/>
      <w:lang w:val="en-GB"/>
    </w:rPr>
  </w:style>
  <w:style w:type="paragraph" w:styleId="Header">
    <w:name w:val="header"/>
    <w:basedOn w:val="NormalARTICLE"/>
    <w:qFormat/>
  </w:style>
  <w:style w:type="character" w:styleId="HTMLCite">
    <w:name w:val="HTML Cite"/>
    <w:qFormat/>
    <w:rPr>
      <w:i/>
      <w:iCs/>
      <w:w w:val="100"/>
      <w:position w:val="-1"/>
      <w:vertAlign w:val="baseline"/>
      <w:cs w:val="0"/>
    </w:rPr>
  </w:style>
  <w:style w:type="paragraph" w:styleId="HTMLPreformatted">
    <w:name w:val="HTML Preformatted"/>
    <w:basedOn w:val="NormalARTICLE"/>
    <w:uiPriority w:val="99"/>
    <w:qFormat/>
    <w:pPr>
      <w:spacing w:line="240" w:lineRule="auto"/>
      <w:ind w:firstLine="0"/>
      <w:jc w:val="left"/>
    </w:pPr>
    <w:rPr>
      <w:rFonts w:ascii="Courier New" w:hAnsi="Courier New" w:cs="Courier New"/>
      <w:szCs w:val="20"/>
      <w:lang w:val="en-US"/>
    </w:rPr>
  </w:style>
  <w:style w:type="character" w:styleId="Hyperlink">
    <w:name w:val="Hyperlink"/>
    <w:basedOn w:val="author-ref"/>
    <w:qFormat/>
    <w:rPr>
      <w:rFonts w:ascii="Times New Roman" w:eastAsia="SimSun" w:hAnsi="Times New Roman"/>
      <w:color w:val="0000FF"/>
      <w:w w:val="100"/>
      <w:position w:val="-1"/>
      <w:u w:val="single"/>
      <w:vertAlign w:val="baseline"/>
      <w:cs w:val="0"/>
    </w:rPr>
  </w:style>
  <w:style w:type="character" w:customStyle="1" w:styleId="author-ref">
    <w:name w:val="author-ref"/>
    <w:basedOn w:val="DefaultParagraphFont"/>
    <w:qFormat/>
    <w:rPr>
      <w:w w:val="100"/>
      <w:position w:val="-1"/>
      <w:vertAlign w:val="baseline"/>
      <w:cs w:val="0"/>
    </w:rPr>
  </w:style>
  <w:style w:type="character" w:styleId="LineNumber">
    <w:name w:val="line number"/>
    <w:qFormat/>
    <w:rPr>
      <w:w w:val="100"/>
      <w:position w:val="-1"/>
      <w:vertAlign w:val="baseline"/>
      <w:cs w:val="0"/>
    </w:rPr>
  </w:style>
  <w:style w:type="paragraph" w:styleId="NormalWeb">
    <w:name w:val="Normal (Web)"/>
    <w:basedOn w:val="NormalARTICLE"/>
    <w:uiPriority w:val="99"/>
    <w:qFormat/>
    <w:pPr>
      <w:spacing w:before="100" w:beforeAutospacing="1" w:after="100" w:afterAutospacing="1"/>
    </w:pPr>
  </w:style>
  <w:style w:type="character" w:styleId="PageNumber">
    <w:name w:val="page number"/>
    <w:qFormat/>
    <w:rPr>
      <w:w w:val="100"/>
      <w:position w:val="-1"/>
      <w:vertAlign w:val="baseline"/>
      <w:cs w:val="0"/>
    </w:rPr>
  </w:style>
  <w:style w:type="character" w:styleId="Strong">
    <w:name w:val="Strong"/>
    <w:qFormat/>
    <w:rPr>
      <w:b/>
      <w:bCs/>
      <w:w w:val="100"/>
      <w:position w:val="-1"/>
      <w:vertAlign w:val="baseline"/>
      <w:cs w:val="0"/>
    </w:rPr>
  </w:style>
  <w:style w:type="paragraph" w:styleId="Subtitle">
    <w:name w:val="Subtitle"/>
    <w:basedOn w:val="Normal"/>
    <w:next w:val="Normal"/>
    <w:pPr>
      <w:pBdr>
        <w:top w:val="none" w:sz="0" w:space="0" w:color="000000"/>
        <w:left w:val="none" w:sz="0" w:space="0" w:color="000000"/>
        <w:bottom w:val="none" w:sz="0" w:space="0" w:color="000000"/>
        <w:right w:val="none" w:sz="0" w:space="0" w:color="000000"/>
        <w:between w:val="none" w:sz="0" w:space="0" w:color="000000"/>
      </w:pBdr>
      <w:spacing w:after="60" w:line="276" w:lineRule="auto"/>
      <w:jc w:val="center"/>
    </w:pPr>
    <w:rPr>
      <w:rFonts w:ascii="Cambria" w:eastAsia="Cambria" w:hAnsi="Cambria" w:cs="Cambria"/>
      <w:color w:val="000000"/>
      <w:sz w:val="24"/>
      <w:szCs w:val="24"/>
    </w:rPr>
  </w:style>
  <w:style w:type="table" w:styleId="TableGrid">
    <w:name w:val="Table Grid"/>
    <w:basedOn w:val="TableNormal1"/>
    <w:uiPriority w:val="39"/>
    <w:qFormat/>
    <w:pPr>
      <w:suppressAutoHyphens/>
      <w:autoSpaceDE w:val="0"/>
      <w:autoSpaceDN w:val="0"/>
      <w:adjustRightInd w:val="0"/>
      <w:ind w:leftChars="-1" w:left="-1" w:hangingChars="1" w:hanging="1"/>
      <w:textAlignment w:val="top"/>
      <w:outlineLvl w:val="0"/>
    </w:pPr>
    <w:rPr>
      <w:position w:val="-1"/>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tblPr>
      <w:tblCellMar>
        <w:top w:w="0" w:type="dxa"/>
        <w:left w:w="0" w:type="dxa"/>
        <w:bottom w:w="0" w:type="dxa"/>
        <w:right w:w="0" w:type="dxa"/>
      </w:tblCellMar>
    </w:tblPr>
  </w:style>
  <w:style w:type="paragraph" w:styleId="TOC1">
    <w:name w:val="toc 1"/>
    <w:basedOn w:val="NormalARTICLE"/>
    <w:next w:val="NormalARTICLE"/>
    <w:qFormat/>
    <w:pPr>
      <w:spacing w:after="100"/>
    </w:pPr>
  </w:style>
  <w:style w:type="paragraph" w:styleId="TOC2">
    <w:name w:val="toc 2"/>
    <w:basedOn w:val="NormalARTICLE"/>
    <w:next w:val="NormalARTICLE"/>
    <w:qFormat/>
    <w:pPr>
      <w:spacing w:after="100"/>
      <w:ind w:left="220"/>
    </w:pPr>
  </w:style>
  <w:style w:type="paragraph" w:customStyle="1" w:styleId="Heading2HEADING2">
    <w:name w:val="Heading 2;HEADING_2"/>
    <w:basedOn w:val="NormalARTICLE"/>
    <w:next w:val="NormalARTICLE"/>
    <w:qFormat/>
    <w:pPr>
      <w:keepNext/>
      <w:spacing w:before="240" w:after="120"/>
      <w:ind w:firstLine="0"/>
      <w:outlineLvl w:val="1"/>
    </w:pPr>
    <w:rPr>
      <w:rFonts w:cs="Arial"/>
      <w:b/>
      <w:bCs/>
      <w:iCs/>
      <w:szCs w:val="28"/>
    </w:rPr>
  </w:style>
  <w:style w:type="paragraph" w:customStyle="1" w:styleId="Heading4ABSTRACT">
    <w:name w:val="Heading 4;ABSTRACT"/>
    <w:basedOn w:val="NormalARTICLE"/>
    <w:next w:val="NormalARTICLE"/>
    <w:qFormat/>
    <w:pPr>
      <w:keepNext/>
      <w:spacing w:before="120"/>
      <w:ind w:firstLine="0"/>
      <w:jc w:val="left"/>
      <w:outlineLvl w:val="3"/>
    </w:pPr>
    <w:rPr>
      <w:b/>
      <w:bCs/>
      <w:i/>
      <w:szCs w:val="48"/>
    </w:rPr>
  </w:style>
  <w:style w:type="paragraph" w:customStyle="1" w:styleId="Heading5AUTHOR">
    <w:name w:val="Heading 5;AUTHOR"/>
    <w:basedOn w:val="NormalARTICLE"/>
    <w:next w:val="NormalARTICLE"/>
    <w:qFormat/>
    <w:pPr>
      <w:ind w:firstLine="0"/>
      <w:jc w:val="center"/>
      <w:outlineLvl w:val="4"/>
    </w:pPr>
    <w:rPr>
      <w:b/>
      <w:bCs/>
      <w:iCs/>
      <w:szCs w:val="26"/>
    </w:rPr>
  </w:style>
  <w:style w:type="paragraph" w:customStyle="1" w:styleId="Heading6TABLE">
    <w:name w:val="Heading 6;TABLE"/>
    <w:basedOn w:val="NormalARTICLE"/>
    <w:next w:val="NormalARTICLE"/>
    <w:qFormat/>
    <w:pPr>
      <w:keepNext/>
      <w:spacing w:before="120" w:after="120" w:line="240" w:lineRule="auto"/>
      <w:ind w:left="1134" w:hanging="1134"/>
      <w:outlineLvl w:val="5"/>
    </w:pPr>
    <w:rPr>
      <w:bCs/>
    </w:rPr>
  </w:style>
  <w:style w:type="paragraph" w:customStyle="1" w:styleId="Heading7FIGURE">
    <w:name w:val="Heading 7;FIGURE"/>
    <w:basedOn w:val="NormalARTICLE"/>
    <w:next w:val="NormalARTICLE"/>
    <w:qFormat/>
    <w:pPr>
      <w:keepNext/>
      <w:spacing w:after="120"/>
      <w:ind w:firstLine="0"/>
      <w:contextualSpacing/>
      <w:jc w:val="center"/>
      <w:outlineLvl w:val="6"/>
    </w:pPr>
    <w:rPr>
      <w:bCs/>
      <w:szCs w:val="40"/>
    </w:rPr>
  </w:style>
  <w:style w:type="paragraph" w:customStyle="1" w:styleId="Heading8REFERENCES">
    <w:name w:val="Heading 8;REFERENCES"/>
    <w:basedOn w:val="NormalARTICLE"/>
    <w:next w:val="NormalARTICLE"/>
    <w:qFormat/>
    <w:pPr>
      <w:keepNext/>
      <w:spacing w:line="240" w:lineRule="auto"/>
      <w:ind w:left="851" w:hanging="851"/>
      <w:outlineLvl w:val="7"/>
    </w:pPr>
    <w:rPr>
      <w:bCs/>
      <w:szCs w:val="32"/>
    </w:rPr>
  </w:style>
  <w:style w:type="character" w:customStyle="1" w:styleId="Heading1Char">
    <w:name w:val="Heading 1 Char"/>
    <w:qFormat/>
    <w:rPr>
      <w:rFonts w:ascii="Book Antiqua" w:hAnsi="Book Antiqua" w:cs="Times New Roman"/>
      <w:b/>
      <w:bCs/>
      <w:w w:val="100"/>
      <w:position w:val="-1"/>
      <w:sz w:val="24"/>
      <w:szCs w:val="24"/>
      <w:vertAlign w:val="baseline"/>
      <w:cs w:val="0"/>
      <w:lang w:val="en-US" w:eastAsia="en-US"/>
    </w:rPr>
  </w:style>
  <w:style w:type="character" w:customStyle="1" w:styleId="Heading2CharHEADING2Char">
    <w:name w:val="Heading 2 Char;HEADING_2 Char"/>
    <w:qFormat/>
    <w:rPr>
      <w:rFonts w:ascii="Book Antiqua" w:hAnsi="Book Antiqua" w:cs="Arial"/>
      <w:b/>
      <w:bCs/>
      <w:iCs/>
      <w:w w:val="100"/>
      <w:position w:val="-1"/>
      <w:szCs w:val="28"/>
      <w:vertAlign w:val="baseline"/>
      <w:cs w:val="0"/>
    </w:rPr>
  </w:style>
  <w:style w:type="character" w:customStyle="1" w:styleId="Heading3Char">
    <w:name w:val="Heading 3 Char"/>
    <w:qFormat/>
    <w:rPr>
      <w:rFonts w:ascii="Book Antiqua" w:hAnsi="Book Antiqua" w:cs="Times New Roman"/>
      <w:b/>
      <w:bCs/>
      <w:i/>
      <w:w w:val="100"/>
      <w:position w:val="-1"/>
      <w:sz w:val="36"/>
      <w:szCs w:val="36"/>
      <w:vertAlign w:val="baseline"/>
      <w:cs w:val="0"/>
      <w:lang w:val="en-US" w:eastAsia="en-US"/>
    </w:rPr>
  </w:style>
  <w:style w:type="character" w:customStyle="1" w:styleId="Heading4CharABSTRACTChar">
    <w:name w:val="Heading 4 Char;ABSTRACT Char"/>
    <w:qFormat/>
    <w:rPr>
      <w:rFonts w:ascii="Open Sans" w:hAnsi="Open Sans"/>
      <w:b/>
      <w:bCs/>
      <w:i/>
      <w:w w:val="100"/>
      <w:position w:val="-1"/>
      <w:sz w:val="20"/>
      <w:szCs w:val="48"/>
      <w:vertAlign w:val="baseline"/>
      <w:cs w:val="0"/>
      <w:lang w:val="id-ID"/>
    </w:rPr>
  </w:style>
  <w:style w:type="character" w:customStyle="1" w:styleId="Heading5CharAUTHORChar">
    <w:name w:val="Heading 5 Char;AUTHOR Char"/>
    <w:qFormat/>
    <w:rPr>
      <w:rFonts w:ascii="Book Antiqua" w:hAnsi="Book Antiqua"/>
      <w:b/>
      <w:bCs/>
      <w:iCs/>
      <w:w w:val="100"/>
      <w:position w:val="-1"/>
      <w:szCs w:val="26"/>
      <w:vertAlign w:val="baseline"/>
      <w:cs w:val="0"/>
      <w:lang w:val="id-ID"/>
    </w:rPr>
  </w:style>
  <w:style w:type="character" w:customStyle="1" w:styleId="Heading6CharTABLEChar">
    <w:name w:val="Heading 6 Char;TABLE Char"/>
    <w:qFormat/>
    <w:rPr>
      <w:rFonts w:ascii="Open Sans" w:hAnsi="Open Sans"/>
      <w:bCs/>
      <w:w w:val="100"/>
      <w:position w:val="-1"/>
      <w:sz w:val="20"/>
      <w:szCs w:val="24"/>
      <w:vertAlign w:val="baseline"/>
      <w:cs w:val="0"/>
      <w:lang w:val="id-ID"/>
    </w:rPr>
  </w:style>
  <w:style w:type="character" w:customStyle="1" w:styleId="Heading7CharFIGUREChar">
    <w:name w:val="Heading 7 Char;FIGURE Char"/>
    <w:qFormat/>
    <w:rPr>
      <w:rFonts w:ascii="Open Sans" w:hAnsi="Open Sans"/>
      <w:bCs/>
      <w:w w:val="100"/>
      <w:position w:val="-1"/>
      <w:sz w:val="20"/>
      <w:szCs w:val="40"/>
      <w:vertAlign w:val="baseline"/>
      <w:cs w:val="0"/>
      <w:lang w:val="id-ID"/>
    </w:rPr>
  </w:style>
  <w:style w:type="character" w:customStyle="1" w:styleId="Heading8CharREFERENCESChar">
    <w:name w:val="Heading 8 Char;REFERENCES Char"/>
    <w:qFormat/>
    <w:rPr>
      <w:rFonts w:ascii="Book Antiqua" w:hAnsi="Book Antiqua"/>
      <w:bCs/>
      <w:w w:val="100"/>
      <w:position w:val="-1"/>
      <w:szCs w:val="32"/>
      <w:vertAlign w:val="baseline"/>
      <w:cs w:val="0"/>
    </w:rPr>
  </w:style>
  <w:style w:type="character" w:customStyle="1" w:styleId="Heading9Char">
    <w:name w:val="Heading 9 Char"/>
    <w:qFormat/>
    <w:rPr>
      <w:b/>
      <w:bCs/>
      <w:w w:val="100"/>
      <w:position w:val="-1"/>
      <w:sz w:val="24"/>
      <w:szCs w:val="24"/>
      <w:vertAlign w:val="baseline"/>
      <w:cs w:val="0"/>
      <w:lang w:val="en-US" w:eastAsia="en-US"/>
    </w:rPr>
  </w:style>
  <w:style w:type="character" w:customStyle="1" w:styleId="BodyTextIndent2Char">
    <w:name w:val="Body Text Indent 2 Char"/>
    <w:qFormat/>
    <w:rPr>
      <w:w w:val="100"/>
      <w:position w:val="-1"/>
      <w:sz w:val="24"/>
      <w:szCs w:val="24"/>
      <w:vertAlign w:val="baseline"/>
      <w:cs w:val="0"/>
      <w:lang w:val="en-US" w:eastAsia="en-US"/>
    </w:rPr>
  </w:style>
  <w:style w:type="character" w:customStyle="1" w:styleId="BodyTextChar">
    <w:name w:val="Body Text Char"/>
    <w:qFormat/>
    <w:rPr>
      <w:w w:val="100"/>
      <w:position w:val="-1"/>
      <w:sz w:val="24"/>
      <w:szCs w:val="24"/>
      <w:vertAlign w:val="baseline"/>
      <w:cs w:val="0"/>
      <w:lang w:val="en-US" w:eastAsia="en-US"/>
    </w:rPr>
  </w:style>
  <w:style w:type="character" w:customStyle="1" w:styleId="BodyTextIndentChar">
    <w:name w:val="Body Text Indent Char"/>
    <w:qFormat/>
    <w:rPr>
      <w:w w:val="100"/>
      <w:position w:val="-1"/>
      <w:sz w:val="24"/>
      <w:szCs w:val="24"/>
      <w:vertAlign w:val="baseline"/>
      <w:cs w:val="0"/>
      <w:lang w:val="en-US" w:eastAsia="en-US"/>
    </w:rPr>
  </w:style>
  <w:style w:type="character" w:customStyle="1" w:styleId="BodyText2Char">
    <w:name w:val="Body Text 2 Char"/>
    <w:qFormat/>
    <w:rPr>
      <w:rFonts w:ascii="Arial" w:hAnsi="Arial" w:cs="Arial"/>
      <w:b/>
      <w:bCs/>
      <w:w w:val="100"/>
      <w:position w:val="-1"/>
      <w:sz w:val="24"/>
      <w:szCs w:val="24"/>
      <w:vertAlign w:val="baseline"/>
      <w:cs w:val="0"/>
      <w:lang w:val="en-US" w:eastAsia="en-US"/>
    </w:rPr>
  </w:style>
  <w:style w:type="character" w:customStyle="1" w:styleId="BodyText3Char">
    <w:name w:val="Body Text 3 Char"/>
    <w:qFormat/>
    <w:rPr>
      <w:b/>
      <w:bCs/>
      <w:w w:val="100"/>
      <w:position w:val="-1"/>
      <w:sz w:val="24"/>
      <w:szCs w:val="24"/>
      <w:vertAlign w:val="baseline"/>
      <w:cs w:val="0"/>
      <w:lang w:val="en-US" w:eastAsia="en-US"/>
    </w:rPr>
  </w:style>
  <w:style w:type="character" w:customStyle="1" w:styleId="BodyTextIndent3Char">
    <w:name w:val="Body Text Indent 3 Char"/>
    <w:qFormat/>
    <w:rPr>
      <w:rFonts w:ascii="Arial" w:hAnsi="Arial" w:cs="Arial"/>
      <w:w w:val="100"/>
      <w:position w:val="-1"/>
      <w:sz w:val="24"/>
      <w:szCs w:val="24"/>
      <w:vertAlign w:val="baseline"/>
      <w:cs w:val="0"/>
      <w:lang w:val="en-US" w:eastAsia="en-US"/>
    </w:rPr>
  </w:style>
  <w:style w:type="character" w:customStyle="1" w:styleId="HeaderChar">
    <w:name w:val="Header Char"/>
    <w:qFormat/>
    <w:rPr>
      <w:w w:val="100"/>
      <w:position w:val="-1"/>
      <w:sz w:val="24"/>
      <w:szCs w:val="24"/>
      <w:vertAlign w:val="baseline"/>
      <w:cs w:val="0"/>
      <w:lang w:val="en-US" w:eastAsia="en-US"/>
    </w:rPr>
  </w:style>
  <w:style w:type="character" w:customStyle="1" w:styleId="FooterChar">
    <w:name w:val="Footer Char"/>
    <w:qFormat/>
    <w:rPr>
      <w:w w:val="100"/>
      <w:position w:val="-1"/>
      <w:sz w:val="24"/>
      <w:szCs w:val="24"/>
      <w:vertAlign w:val="baseline"/>
      <w:cs w:val="0"/>
      <w:lang w:val="en-US" w:eastAsia="en-US"/>
    </w:rPr>
  </w:style>
  <w:style w:type="character" w:customStyle="1" w:styleId="FootnoteTextChar">
    <w:name w:val="Footnote Text Char"/>
    <w:qFormat/>
    <w:rPr>
      <w:w w:val="100"/>
      <w:position w:val="-1"/>
      <w:vertAlign w:val="baseline"/>
      <w:cs w:val="0"/>
      <w:lang w:val="en-GB" w:eastAsia="en-US"/>
    </w:rPr>
  </w:style>
  <w:style w:type="paragraph" w:customStyle="1" w:styleId="CaptionTabel">
    <w:name w:val="Caption;Tabel"/>
    <w:basedOn w:val="NormalARTICLE"/>
    <w:next w:val="NormalARTICLE"/>
    <w:qFormat/>
    <w:pPr>
      <w:spacing w:before="120" w:after="120"/>
    </w:pPr>
    <w:rPr>
      <w:b/>
      <w:bCs/>
      <w:szCs w:val="20"/>
    </w:rPr>
  </w:style>
  <w:style w:type="character" w:customStyle="1" w:styleId="BalloonTextChar">
    <w:name w:val="Balloon Text Char"/>
    <w:qFormat/>
    <w:rPr>
      <w:rFonts w:ascii="Tahoma" w:hAnsi="Tahoma" w:cs="Tahoma"/>
      <w:w w:val="100"/>
      <w:position w:val="-1"/>
      <w:sz w:val="16"/>
      <w:szCs w:val="16"/>
      <w:vertAlign w:val="baseline"/>
      <w:cs w:val="0"/>
      <w:lang w:val="en-US" w:eastAsia="en-US"/>
    </w:rPr>
  </w:style>
  <w:style w:type="paragraph" w:customStyle="1" w:styleId="TitleCITEJDLINDO">
    <w:name w:val="Title;CITE;JDL_INDO"/>
    <w:basedOn w:val="NormalARTICLE"/>
    <w:qFormat/>
    <w:pPr>
      <w:spacing w:after="120" w:line="240" w:lineRule="auto"/>
      <w:ind w:left="947" w:hanging="720"/>
    </w:pPr>
    <w:rPr>
      <w:bCs/>
      <w:lang w:val="en-GB"/>
    </w:rPr>
  </w:style>
  <w:style w:type="character" w:customStyle="1" w:styleId="TitleCharCITECharJDLINDOChar">
    <w:name w:val="Title Char;CITE Char;JDL_INDO Char"/>
    <w:qFormat/>
    <w:rPr>
      <w:rFonts w:ascii="Open Sans" w:hAnsi="Open Sans"/>
      <w:bCs/>
      <w:w w:val="100"/>
      <w:position w:val="-1"/>
      <w:sz w:val="20"/>
      <w:szCs w:val="24"/>
      <w:vertAlign w:val="baseline"/>
      <w:cs w:val="0"/>
      <w:lang w:val="en-GB"/>
    </w:rPr>
  </w:style>
  <w:style w:type="paragraph" w:customStyle="1" w:styleId="Body">
    <w:name w:val="Body"/>
    <w:basedOn w:val="NormalARTICLE"/>
    <w:qFormat/>
    <w:rPr>
      <w:rFonts w:ascii="Times" w:hAnsi="Times" w:cs="Times"/>
      <w:color w:val="000000"/>
    </w:rPr>
  </w:style>
  <w:style w:type="character" w:customStyle="1" w:styleId="EndnoteTextChar">
    <w:name w:val="Endnote Text Char"/>
    <w:qFormat/>
    <w:rPr>
      <w:w w:val="100"/>
      <w:position w:val="-1"/>
      <w:vertAlign w:val="baseline"/>
      <w:cs w:val="0"/>
      <w:lang w:val="en-US" w:eastAsia="en-US"/>
    </w:rPr>
  </w:style>
  <w:style w:type="character" w:customStyle="1" w:styleId="ft2">
    <w:name w:val="ft2"/>
    <w:qFormat/>
    <w:rPr>
      <w:w w:val="100"/>
      <w:position w:val="-1"/>
      <w:vertAlign w:val="baseline"/>
      <w:cs w:val="0"/>
    </w:rPr>
  </w:style>
  <w:style w:type="character" w:customStyle="1" w:styleId="ft0">
    <w:name w:val="ft0"/>
    <w:qFormat/>
    <w:rPr>
      <w:w w:val="100"/>
      <w:position w:val="-1"/>
      <w:vertAlign w:val="baseline"/>
      <w:cs w:val="0"/>
    </w:rPr>
  </w:style>
  <w:style w:type="character" w:customStyle="1" w:styleId="ft3">
    <w:name w:val="ft3"/>
    <w:qFormat/>
    <w:rPr>
      <w:w w:val="100"/>
      <w:position w:val="-1"/>
      <w:vertAlign w:val="baseline"/>
      <w:cs w:val="0"/>
    </w:rPr>
  </w:style>
  <w:style w:type="character" w:customStyle="1" w:styleId="ft11">
    <w:name w:val="ft11"/>
    <w:qFormat/>
    <w:rPr>
      <w:w w:val="100"/>
      <w:position w:val="-1"/>
      <w:vertAlign w:val="baseline"/>
      <w:cs w:val="0"/>
    </w:rPr>
  </w:style>
  <w:style w:type="character" w:customStyle="1" w:styleId="ft13">
    <w:name w:val="ft13"/>
    <w:qFormat/>
    <w:rPr>
      <w:w w:val="100"/>
      <w:position w:val="-1"/>
      <w:vertAlign w:val="baseline"/>
      <w:cs w:val="0"/>
    </w:rPr>
  </w:style>
  <w:style w:type="character" w:customStyle="1" w:styleId="ft7">
    <w:name w:val="ft7"/>
    <w:qFormat/>
    <w:rPr>
      <w:w w:val="100"/>
      <w:position w:val="-1"/>
      <w:vertAlign w:val="baseline"/>
      <w:cs w:val="0"/>
    </w:rPr>
  </w:style>
  <w:style w:type="character" w:customStyle="1" w:styleId="ft27">
    <w:name w:val="ft27"/>
    <w:qFormat/>
    <w:rPr>
      <w:w w:val="100"/>
      <w:position w:val="-1"/>
      <w:vertAlign w:val="baseline"/>
      <w:cs w:val="0"/>
    </w:rPr>
  </w:style>
  <w:style w:type="character" w:customStyle="1" w:styleId="ft6">
    <w:name w:val="ft6"/>
    <w:qFormat/>
    <w:rPr>
      <w:w w:val="100"/>
      <w:position w:val="-1"/>
      <w:vertAlign w:val="baseline"/>
      <w:cs w:val="0"/>
    </w:rPr>
  </w:style>
  <w:style w:type="character" w:customStyle="1" w:styleId="footer21">
    <w:name w:val="footer21"/>
    <w:qFormat/>
    <w:rPr>
      <w:rFonts w:ascii="Verdana" w:hAnsi="Verdana" w:cs="Verdana"/>
      <w:w w:val="100"/>
      <w:position w:val="-1"/>
      <w:sz w:val="15"/>
      <w:szCs w:val="15"/>
      <w:vertAlign w:val="baseline"/>
      <w:cs w:val="0"/>
    </w:rPr>
  </w:style>
  <w:style w:type="character" w:customStyle="1" w:styleId="title2">
    <w:name w:val="title2"/>
    <w:qFormat/>
    <w:rPr>
      <w:w w:val="100"/>
      <w:position w:val="-1"/>
      <w:vertAlign w:val="baseline"/>
      <w:cs w:val="0"/>
    </w:rPr>
  </w:style>
  <w:style w:type="character" w:customStyle="1" w:styleId="footer1">
    <w:name w:val="footer1"/>
    <w:qFormat/>
    <w:rPr>
      <w:w w:val="100"/>
      <w:position w:val="-1"/>
      <w:vertAlign w:val="baseline"/>
      <w:cs w:val="0"/>
    </w:rPr>
  </w:style>
  <w:style w:type="character" w:customStyle="1" w:styleId="contenttitletext">
    <w:name w:val="contenttitletext"/>
    <w:qFormat/>
    <w:rPr>
      <w:w w:val="100"/>
      <w:position w:val="-1"/>
      <w:vertAlign w:val="baseline"/>
      <w:cs w:val="0"/>
    </w:rPr>
  </w:style>
  <w:style w:type="character" w:customStyle="1" w:styleId="ft14">
    <w:name w:val="ft14"/>
    <w:qFormat/>
    <w:rPr>
      <w:w w:val="100"/>
      <w:position w:val="-1"/>
      <w:vertAlign w:val="baseline"/>
      <w:cs w:val="0"/>
    </w:rPr>
  </w:style>
  <w:style w:type="character" w:customStyle="1" w:styleId="ft5">
    <w:name w:val="ft5"/>
    <w:qFormat/>
    <w:rPr>
      <w:w w:val="100"/>
      <w:position w:val="-1"/>
      <w:vertAlign w:val="baseline"/>
      <w:cs w:val="0"/>
    </w:rPr>
  </w:style>
  <w:style w:type="character" w:customStyle="1" w:styleId="goohl2">
    <w:name w:val="goohl2"/>
    <w:qFormat/>
    <w:rPr>
      <w:w w:val="100"/>
      <w:position w:val="-1"/>
      <w:vertAlign w:val="baseline"/>
      <w:cs w:val="0"/>
    </w:rPr>
  </w:style>
  <w:style w:type="character" w:customStyle="1" w:styleId="ft9">
    <w:name w:val="ft9"/>
    <w:qFormat/>
    <w:rPr>
      <w:w w:val="100"/>
      <w:position w:val="-1"/>
      <w:vertAlign w:val="baseline"/>
      <w:cs w:val="0"/>
    </w:rPr>
  </w:style>
  <w:style w:type="character" w:customStyle="1" w:styleId="ft1">
    <w:name w:val="ft1"/>
    <w:qFormat/>
    <w:rPr>
      <w:w w:val="100"/>
      <w:position w:val="-1"/>
      <w:vertAlign w:val="baseline"/>
      <w:cs w:val="0"/>
    </w:rPr>
  </w:style>
  <w:style w:type="character" w:customStyle="1" w:styleId="a1">
    <w:name w:val="a1"/>
    <w:qFormat/>
    <w:rPr>
      <w:color w:val="008000"/>
      <w:w w:val="100"/>
      <w:position w:val="-1"/>
      <w:vertAlign w:val="baseline"/>
      <w:cs w:val="0"/>
    </w:rPr>
  </w:style>
  <w:style w:type="character" w:customStyle="1" w:styleId="bodytext0">
    <w:name w:val="body_text"/>
    <w:qFormat/>
    <w:rPr>
      <w:w w:val="100"/>
      <w:position w:val="-1"/>
      <w:vertAlign w:val="baseline"/>
      <w:cs w:val="0"/>
    </w:rPr>
  </w:style>
  <w:style w:type="character" w:customStyle="1" w:styleId="bodytext1">
    <w:name w:val="body_text1"/>
    <w:qFormat/>
    <w:rPr>
      <w:rFonts w:ascii="Arial" w:hAnsi="Arial" w:cs="Arial"/>
      <w:color w:val="000000"/>
      <w:w w:val="100"/>
      <w:position w:val="-1"/>
      <w:sz w:val="18"/>
      <w:szCs w:val="18"/>
      <w:vertAlign w:val="baseline"/>
      <w:cs w:val="0"/>
    </w:rPr>
  </w:style>
  <w:style w:type="character" w:customStyle="1" w:styleId="title1">
    <w:name w:val="title1"/>
    <w:qFormat/>
    <w:rPr>
      <w:rFonts w:ascii="Arial" w:hAnsi="Arial" w:cs="Arial"/>
      <w:b/>
      <w:bCs/>
      <w:color w:val="auto"/>
      <w:w w:val="100"/>
      <w:position w:val="-1"/>
      <w:sz w:val="32"/>
      <w:szCs w:val="32"/>
      <w:vertAlign w:val="baseline"/>
      <w:cs w:val="0"/>
    </w:rPr>
  </w:style>
  <w:style w:type="character" w:customStyle="1" w:styleId="ft8">
    <w:name w:val="ft8"/>
    <w:qFormat/>
    <w:rPr>
      <w:w w:val="100"/>
      <w:position w:val="-1"/>
      <w:vertAlign w:val="baseline"/>
      <w:cs w:val="0"/>
    </w:rPr>
  </w:style>
  <w:style w:type="character" w:customStyle="1" w:styleId="ft17">
    <w:name w:val="ft17"/>
    <w:qFormat/>
    <w:rPr>
      <w:w w:val="100"/>
      <w:position w:val="-1"/>
      <w:vertAlign w:val="baseline"/>
      <w:cs w:val="0"/>
    </w:rPr>
  </w:style>
  <w:style w:type="character" w:customStyle="1" w:styleId="ft4">
    <w:name w:val="ft4"/>
    <w:qFormat/>
    <w:rPr>
      <w:w w:val="100"/>
      <w:position w:val="-1"/>
      <w:vertAlign w:val="baseline"/>
      <w:cs w:val="0"/>
    </w:rPr>
  </w:style>
  <w:style w:type="character" w:customStyle="1" w:styleId="ft16">
    <w:name w:val="ft16"/>
    <w:qFormat/>
    <w:rPr>
      <w:w w:val="100"/>
      <w:position w:val="-1"/>
      <w:vertAlign w:val="baseline"/>
      <w:cs w:val="0"/>
    </w:rPr>
  </w:style>
  <w:style w:type="character" w:customStyle="1" w:styleId="yshortcuts">
    <w:name w:val="yshortcuts"/>
    <w:qFormat/>
    <w:rPr>
      <w:w w:val="100"/>
      <w:position w:val="-1"/>
      <w:vertAlign w:val="baseline"/>
      <w:cs w:val="0"/>
    </w:rPr>
  </w:style>
  <w:style w:type="paragraph" w:customStyle="1" w:styleId="Title10">
    <w:name w:val="Title1"/>
    <w:basedOn w:val="TitleCITEJDLINDO"/>
    <w:qFormat/>
    <w:pPr>
      <w:spacing w:before="240" w:after="240"/>
      <w:ind w:left="0" w:firstLine="0"/>
      <w:jc w:val="center"/>
    </w:pPr>
    <w:rPr>
      <w:b/>
      <w:sz w:val="24"/>
    </w:rPr>
  </w:style>
  <w:style w:type="character" w:customStyle="1" w:styleId="TITLEChar0">
    <w:name w:val="TITLE Char"/>
    <w:qFormat/>
    <w:rPr>
      <w:rFonts w:ascii="Open Sans" w:hAnsi="Open Sans"/>
      <w:b/>
      <w:bCs/>
      <w:w w:val="100"/>
      <w:position w:val="-1"/>
      <w:sz w:val="24"/>
      <w:szCs w:val="24"/>
      <w:vertAlign w:val="baseline"/>
      <w:cs w:val="0"/>
      <w:lang w:val="en-GB"/>
    </w:rPr>
  </w:style>
  <w:style w:type="paragraph" w:customStyle="1" w:styleId="AFFILIATION">
    <w:name w:val="AFFILIATION"/>
    <w:basedOn w:val="Heading5AUTHOR"/>
    <w:link w:val="AFFILIATIONChar1"/>
    <w:qFormat/>
    <w:rPr>
      <w:i/>
      <w:sz w:val="18"/>
    </w:rPr>
  </w:style>
  <w:style w:type="character" w:customStyle="1" w:styleId="AFFILIATIONChar">
    <w:name w:val="AFFILIATION Char"/>
    <w:qFormat/>
    <w:rPr>
      <w:rFonts w:ascii="Open Sans" w:hAnsi="Open Sans"/>
      <w:b/>
      <w:bCs/>
      <w:i/>
      <w:iCs/>
      <w:w w:val="100"/>
      <w:position w:val="-1"/>
      <w:sz w:val="18"/>
      <w:szCs w:val="26"/>
      <w:vertAlign w:val="baseline"/>
      <w:cs w:val="0"/>
      <w:lang w:val="id-ID"/>
    </w:rPr>
  </w:style>
  <w:style w:type="paragraph" w:customStyle="1" w:styleId="EMAIL">
    <w:name w:val="EMAIL"/>
    <w:basedOn w:val="Heading5AUTHOR"/>
    <w:link w:val="EMAILChar1"/>
    <w:qFormat/>
    <w:rPr>
      <w:sz w:val="18"/>
    </w:rPr>
  </w:style>
  <w:style w:type="character" w:customStyle="1" w:styleId="EMAILChar">
    <w:name w:val="EMAIL Char"/>
    <w:qFormat/>
    <w:rPr>
      <w:rFonts w:ascii="Open Sans" w:hAnsi="Open Sans"/>
      <w:b/>
      <w:bCs/>
      <w:iCs/>
      <w:w w:val="100"/>
      <w:position w:val="-1"/>
      <w:sz w:val="18"/>
      <w:szCs w:val="26"/>
      <w:vertAlign w:val="baseline"/>
      <w:cs w:val="0"/>
      <w:lang w:val="id-ID"/>
    </w:rPr>
  </w:style>
  <w:style w:type="paragraph" w:customStyle="1" w:styleId="CABSTRACT">
    <w:name w:val="C_ABSTRACT"/>
    <w:basedOn w:val="BodyTextIndent2"/>
    <w:link w:val="CABSTRACTChar1"/>
    <w:qFormat/>
    <w:pPr>
      <w:spacing w:line="220" w:lineRule="atLeast"/>
      <w:ind w:left="284" w:right="57" w:firstLine="0"/>
    </w:pPr>
    <w:rPr>
      <w:i/>
      <w:sz w:val="18"/>
    </w:rPr>
  </w:style>
  <w:style w:type="character" w:customStyle="1" w:styleId="CABSTRACTChar">
    <w:name w:val="C_ABSTRACT Char"/>
    <w:qFormat/>
    <w:rPr>
      <w:rFonts w:ascii="Open Sans" w:hAnsi="Open Sans" w:cs="Times New Roman"/>
      <w:i/>
      <w:w w:val="100"/>
      <w:position w:val="-1"/>
      <w:sz w:val="18"/>
      <w:szCs w:val="24"/>
      <w:vertAlign w:val="baseline"/>
      <w:cs w:val="0"/>
      <w:lang w:val="id-ID" w:eastAsia="en-US"/>
    </w:rPr>
  </w:style>
  <w:style w:type="paragraph" w:customStyle="1" w:styleId="KEYWORDS">
    <w:name w:val="KEYWORDS"/>
    <w:basedOn w:val="NormalARTICLE"/>
    <w:link w:val="KEYWORDSChar1"/>
    <w:qFormat/>
    <w:pPr>
      <w:spacing w:line="240" w:lineRule="auto"/>
      <w:ind w:left="284" w:firstLine="0"/>
    </w:pPr>
    <w:rPr>
      <w:i/>
      <w:sz w:val="18"/>
    </w:rPr>
  </w:style>
  <w:style w:type="character" w:customStyle="1" w:styleId="KEYWORDSChar">
    <w:name w:val="KEYWORDS Char"/>
    <w:qFormat/>
    <w:rPr>
      <w:rFonts w:ascii="Open Sans" w:hAnsi="Open Sans"/>
      <w:i/>
      <w:w w:val="100"/>
      <w:position w:val="-1"/>
      <w:sz w:val="18"/>
      <w:szCs w:val="24"/>
      <w:vertAlign w:val="baseline"/>
      <w:cs w:val="0"/>
      <w:lang w:val="id-ID"/>
    </w:rPr>
  </w:style>
  <w:style w:type="paragraph" w:customStyle="1" w:styleId="HEADING10">
    <w:name w:val="HEADING_1"/>
    <w:basedOn w:val="Heading1"/>
    <w:qFormat/>
    <w:pPr>
      <w:spacing w:before="360" w:after="120"/>
    </w:pPr>
  </w:style>
  <w:style w:type="character" w:customStyle="1" w:styleId="HEADING1Char0">
    <w:name w:val="HEADING_1 Char"/>
    <w:qFormat/>
    <w:rPr>
      <w:rFonts w:ascii="Open Sans" w:hAnsi="Open Sans" w:cs="Times New Roman"/>
      <w:b/>
      <w:bCs/>
      <w:w w:val="100"/>
      <w:position w:val="-1"/>
      <w:sz w:val="24"/>
      <w:szCs w:val="24"/>
      <w:vertAlign w:val="baseline"/>
      <w:cs w:val="0"/>
      <w:lang w:val="id-ID" w:eastAsia="en-US"/>
    </w:rPr>
  </w:style>
  <w:style w:type="paragraph" w:customStyle="1" w:styleId="HEADING30">
    <w:name w:val="HEADING_3"/>
    <w:basedOn w:val="Heading2HEADING2"/>
    <w:qFormat/>
    <w:rPr>
      <w:i/>
    </w:rPr>
  </w:style>
  <w:style w:type="character" w:customStyle="1" w:styleId="HEADING3Char0">
    <w:name w:val="HEADING_3 Char"/>
    <w:qFormat/>
    <w:rPr>
      <w:rFonts w:ascii="Book Antiqua" w:hAnsi="Book Antiqua" w:cs="Arial"/>
      <w:b/>
      <w:bCs/>
      <w:i/>
      <w:iCs/>
      <w:w w:val="100"/>
      <w:position w:val="-1"/>
      <w:szCs w:val="28"/>
      <w:vertAlign w:val="baseline"/>
      <w:cs w:val="0"/>
    </w:rPr>
  </w:style>
  <w:style w:type="paragraph" w:customStyle="1" w:styleId="CADANGAN">
    <w:name w:val="CADANGAN"/>
    <w:basedOn w:val="Heading7FIGURE"/>
    <w:qFormat/>
  </w:style>
  <w:style w:type="character" w:customStyle="1" w:styleId="CADANGANChar">
    <w:name w:val="CADANGAN Char"/>
    <w:qFormat/>
    <w:rPr>
      <w:rFonts w:ascii="Book Antiqua" w:hAnsi="Book Antiqua" w:cs="Times New Roman"/>
      <w:bCs/>
      <w:w w:val="100"/>
      <w:position w:val="-1"/>
      <w:sz w:val="40"/>
      <w:szCs w:val="40"/>
      <w:vertAlign w:val="baseline"/>
      <w:cs w:val="0"/>
      <w:lang w:val="en-US" w:eastAsia="en-US"/>
    </w:rPr>
  </w:style>
  <w:style w:type="paragraph" w:customStyle="1" w:styleId="ListParagraphBodyoftext">
    <w:name w:val="List Paragraph;Body of text"/>
    <w:basedOn w:val="NormalARTICLE"/>
    <w:qFormat/>
    <w:pPr>
      <w:ind w:left="720"/>
      <w:contextualSpacing/>
    </w:pPr>
  </w:style>
  <w:style w:type="character" w:customStyle="1" w:styleId="ListParagraphCharBodyoftextChar">
    <w:name w:val="List Paragraph Char;Body of text Char"/>
    <w:qFormat/>
    <w:rPr>
      <w:rFonts w:ascii="Book Antiqua" w:hAnsi="Book Antiqua"/>
      <w:w w:val="100"/>
      <w:position w:val="-1"/>
      <w:szCs w:val="24"/>
      <w:vertAlign w:val="baseline"/>
      <w:cs w:val="0"/>
    </w:rPr>
  </w:style>
  <w:style w:type="paragraph" w:customStyle="1" w:styleId="Default">
    <w:name w:val="Default"/>
    <w:qFormat/>
    <w:pPr>
      <w:suppressAutoHyphens/>
      <w:autoSpaceDE w:val="0"/>
      <w:autoSpaceDN w:val="0"/>
      <w:adjustRightInd w:val="0"/>
      <w:spacing w:line="1" w:lineRule="atLeast"/>
      <w:ind w:leftChars="-1" w:left="-1" w:hangingChars="1" w:hanging="1"/>
      <w:textAlignment w:val="top"/>
      <w:outlineLvl w:val="0"/>
    </w:pPr>
    <w:rPr>
      <w:rFonts w:ascii="Calibri" w:hAnsi="Calibri" w:cs="Calibri"/>
      <w:color w:val="000000"/>
      <w:position w:val="-1"/>
      <w:sz w:val="24"/>
      <w:szCs w:val="24"/>
      <w:lang w:val="en-US"/>
    </w:rPr>
  </w:style>
  <w:style w:type="paragraph" w:styleId="NoSpacing">
    <w:name w:val="No Spacing"/>
    <w:pPr>
      <w:suppressAutoHyphens/>
      <w:spacing w:line="1" w:lineRule="atLeast"/>
      <w:ind w:leftChars="-1" w:left="-1" w:hangingChars="1" w:hanging="1"/>
      <w:textAlignment w:val="top"/>
      <w:outlineLvl w:val="0"/>
    </w:pPr>
    <w:rPr>
      <w:rFonts w:ascii="Calibri" w:hAnsi="Calibri"/>
      <w:position w:val="-1"/>
      <w:sz w:val="22"/>
      <w:szCs w:val="22"/>
      <w:lang w:val="en-US"/>
    </w:rPr>
  </w:style>
  <w:style w:type="character" w:customStyle="1" w:styleId="apple-style-span">
    <w:name w:val="apple-style-span"/>
    <w:basedOn w:val="DefaultParagraphFont"/>
    <w:qFormat/>
    <w:rPr>
      <w:w w:val="100"/>
      <w:position w:val="-1"/>
      <w:vertAlign w:val="baseline"/>
      <w:cs w:val="0"/>
    </w:rPr>
  </w:style>
  <w:style w:type="character" w:customStyle="1" w:styleId="font24">
    <w:name w:val="font24"/>
    <w:basedOn w:val="DefaultParagraphFont"/>
    <w:qFormat/>
    <w:rPr>
      <w:w w:val="100"/>
      <w:position w:val="-1"/>
      <w:vertAlign w:val="baseline"/>
      <w:cs w:val="0"/>
    </w:rPr>
  </w:style>
  <w:style w:type="character" w:customStyle="1" w:styleId="font21">
    <w:name w:val="font21"/>
    <w:basedOn w:val="DefaultParagraphFont"/>
    <w:qFormat/>
    <w:rPr>
      <w:w w:val="100"/>
      <w:position w:val="-1"/>
      <w:vertAlign w:val="baseline"/>
      <w:cs w:val="0"/>
    </w:rPr>
  </w:style>
  <w:style w:type="character" w:customStyle="1" w:styleId="hps">
    <w:name w:val="hps"/>
    <w:qFormat/>
    <w:rPr>
      <w:w w:val="100"/>
      <w:position w:val="-1"/>
      <w:vertAlign w:val="baseline"/>
      <w:cs w:val="0"/>
    </w:rPr>
  </w:style>
  <w:style w:type="character" w:customStyle="1" w:styleId="SubtitleChar">
    <w:name w:val="Subtitle Char"/>
    <w:qFormat/>
    <w:rPr>
      <w:rFonts w:ascii="Cambria" w:hAnsi="Cambria"/>
      <w:w w:val="100"/>
      <w:position w:val="-1"/>
      <w:sz w:val="24"/>
      <w:szCs w:val="24"/>
      <w:vertAlign w:val="baseline"/>
      <w:cs w:val="0"/>
    </w:rPr>
  </w:style>
  <w:style w:type="character" w:customStyle="1" w:styleId="st">
    <w:name w:val="st"/>
    <w:basedOn w:val="DefaultParagraphFont"/>
    <w:qFormat/>
    <w:rPr>
      <w:w w:val="100"/>
      <w:position w:val="-1"/>
      <w:vertAlign w:val="baseline"/>
      <w:cs w:val="0"/>
    </w:rPr>
  </w:style>
  <w:style w:type="character" w:customStyle="1" w:styleId="longtext">
    <w:name w:val="long_text"/>
    <w:basedOn w:val="DefaultParagraphFont"/>
    <w:qFormat/>
    <w:rPr>
      <w:w w:val="100"/>
      <w:position w:val="-1"/>
      <w:vertAlign w:val="baseline"/>
      <w:cs w:val="0"/>
    </w:rPr>
  </w:style>
  <w:style w:type="table" w:customStyle="1" w:styleId="LightShading1">
    <w:name w:val="Light Shading1"/>
    <w:basedOn w:val="TableNormal1"/>
    <w:qFormat/>
    <w:pPr>
      <w:suppressAutoHyphens/>
      <w:ind w:leftChars="-1" w:left="-1" w:hangingChars="1" w:hanging="1"/>
      <w:textAlignment w:val="top"/>
      <w:outlineLvl w:val="0"/>
    </w:pPr>
    <w:rPr>
      <w:rFonts w:ascii="Calibri" w:eastAsia="Calibri" w:hAnsi="Calibri"/>
      <w:color w:val="000000"/>
      <w:position w:val="-1"/>
    </w:rPr>
    <w:tblPr>
      <w:tblBorders>
        <w:top w:val="single" w:sz="8" w:space="0" w:color="000000"/>
        <w:bottom w:val="single" w:sz="8" w:space="0" w:color="000000"/>
      </w:tblBorders>
    </w:tblPr>
  </w:style>
  <w:style w:type="paragraph" w:customStyle="1" w:styleId="big">
    <w:name w:val="big"/>
    <w:basedOn w:val="NormalARTICLE"/>
    <w:qFormat/>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1"/>
    <w:qFormat/>
    <w:pPr>
      <w:suppressAutoHyphens/>
      <w:ind w:leftChars="-1" w:left="-1" w:hangingChars="1" w:hanging="1"/>
      <w:textAlignment w:val="top"/>
      <w:outlineLvl w:val="0"/>
    </w:pPr>
    <w:rPr>
      <w:rFonts w:ascii="Calibri" w:eastAsia="Calibri" w:hAnsi="Calibri"/>
      <w:color w:val="000000"/>
      <w:position w:val="-1"/>
    </w:rPr>
    <w:tblPr>
      <w:tblBorders>
        <w:top w:val="single" w:sz="8" w:space="0" w:color="000000"/>
        <w:bottom w:val="single" w:sz="8" w:space="0" w:color="000000"/>
      </w:tblBorders>
    </w:tblPr>
  </w:style>
  <w:style w:type="character" w:customStyle="1" w:styleId="shorttext">
    <w:name w:val="short_text"/>
    <w:basedOn w:val="DefaultParagraphFont"/>
    <w:qFormat/>
    <w:rPr>
      <w:w w:val="100"/>
      <w:position w:val="-1"/>
      <w:vertAlign w:val="baseline"/>
      <w:cs w:val="0"/>
    </w:rPr>
  </w:style>
  <w:style w:type="character" w:customStyle="1" w:styleId="a">
    <w:name w:val="a"/>
    <w:basedOn w:val="DefaultParagraphFont"/>
    <w:qFormat/>
    <w:rPr>
      <w:w w:val="100"/>
      <w:position w:val="-1"/>
      <w:vertAlign w:val="baseline"/>
      <w:cs w:val="0"/>
    </w:rPr>
  </w:style>
  <w:style w:type="table" w:customStyle="1" w:styleId="TableGrid1">
    <w:name w:val="Table Grid1"/>
    <w:basedOn w:val="TableNormal1"/>
    <w:qFormat/>
    <w:pPr>
      <w:suppressAutoHyphens/>
      <w:ind w:leftChars="-1" w:left="-1" w:hangingChars="1" w:hanging="1"/>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2x48wp4i61">
    <w:name w:val="f2x48wp4i61"/>
    <w:basedOn w:val="DefaultParagraphFont"/>
    <w:qFormat/>
    <w:rPr>
      <w:w w:val="100"/>
      <w:position w:val="-1"/>
      <w:vertAlign w:val="baseline"/>
      <w:cs w:val="0"/>
    </w:rPr>
  </w:style>
  <w:style w:type="character" w:customStyle="1" w:styleId="post-content">
    <w:name w:val="post-content"/>
    <w:basedOn w:val="DefaultParagraphFont"/>
    <w:qFormat/>
    <w:rPr>
      <w:w w:val="100"/>
      <w:position w:val="-1"/>
      <w:vertAlign w:val="baseline"/>
      <w:cs w:val="0"/>
    </w:rPr>
  </w:style>
  <w:style w:type="character" w:customStyle="1" w:styleId="HTMLPreformattedChar">
    <w:name w:val="HTML Preformatted Char"/>
    <w:uiPriority w:val="99"/>
    <w:qFormat/>
    <w:rPr>
      <w:rFonts w:ascii="Courier New" w:hAnsi="Courier New" w:cs="Courier New"/>
      <w:w w:val="100"/>
      <w:position w:val="-1"/>
      <w:sz w:val="20"/>
      <w:szCs w:val="20"/>
      <w:vertAlign w:val="baseline"/>
      <w:cs w:val="0"/>
    </w:rPr>
  </w:style>
  <w:style w:type="paragraph" w:customStyle="1" w:styleId="wp-caption-text">
    <w:name w:val="wp-caption-text"/>
    <w:basedOn w:val="NormalARTICLE"/>
    <w:qFormat/>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qFormat/>
    <w:rPr>
      <w:w w:val="100"/>
      <w:position w:val="-1"/>
      <w:vertAlign w:val="baseline"/>
      <w:cs w:val="0"/>
    </w:rPr>
  </w:style>
  <w:style w:type="character" w:customStyle="1" w:styleId="l7">
    <w:name w:val="l7"/>
    <w:basedOn w:val="DefaultParagraphFont"/>
    <w:qFormat/>
    <w:rPr>
      <w:w w:val="100"/>
      <w:position w:val="-1"/>
      <w:vertAlign w:val="baseline"/>
      <w:cs w:val="0"/>
    </w:rPr>
  </w:style>
  <w:style w:type="character" w:customStyle="1" w:styleId="l8">
    <w:name w:val="l8"/>
    <w:basedOn w:val="DefaultParagraphFont"/>
    <w:rPr>
      <w:w w:val="100"/>
      <w:position w:val="-1"/>
      <w:vertAlign w:val="baseline"/>
      <w:cs w:val="0"/>
    </w:rPr>
  </w:style>
  <w:style w:type="character" w:customStyle="1" w:styleId="l9">
    <w:name w:val="l9"/>
    <w:basedOn w:val="DefaultParagraphFont"/>
    <w:rPr>
      <w:w w:val="100"/>
      <w:position w:val="-1"/>
      <w:vertAlign w:val="baseline"/>
      <w:cs w:val="0"/>
    </w:rPr>
  </w:style>
  <w:style w:type="character" w:customStyle="1" w:styleId="l">
    <w:name w:val="l"/>
    <w:basedOn w:val="DefaultParagraphFont"/>
    <w:rPr>
      <w:w w:val="100"/>
      <w:position w:val="-1"/>
      <w:vertAlign w:val="baseline"/>
      <w:cs w:val="0"/>
    </w:rPr>
  </w:style>
  <w:style w:type="paragraph" w:customStyle="1" w:styleId="pj">
    <w:name w:val="pj"/>
    <w:basedOn w:val="NormalARTICLE"/>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qFormat/>
    <w:rPr>
      <w:w w:val="100"/>
      <w:position w:val="-1"/>
      <w:vertAlign w:val="baseline"/>
      <w:cs w:val="0"/>
    </w:rPr>
  </w:style>
  <w:style w:type="character" w:customStyle="1" w:styleId="ib">
    <w:name w:val="ib"/>
    <w:basedOn w:val="DefaultParagraphFont"/>
    <w:qFormat/>
    <w:rPr>
      <w:w w:val="100"/>
      <w:position w:val="-1"/>
      <w:vertAlign w:val="baseline"/>
      <w:cs w:val="0"/>
    </w:rPr>
  </w:style>
  <w:style w:type="table" w:customStyle="1" w:styleId="TableGrid2">
    <w:name w:val="Table Grid2"/>
    <w:basedOn w:val="TableNormal1"/>
    <w:pPr>
      <w:suppressAutoHyphens/>
      <w:ind w:leftChars="-1" w:left="-1" w:hangingChars="1" w:hanging="1"/>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qFormat/>
    <w:pPr>
      <w:suppressAutoHyphens/>
      <w:spacing w:line="259" w:lineRule="auto"/>
      <w:ind w:leftChars="-1" w:left="-1" w:hangingChars="1" w:hanging="1"/>
      <w:jc w:val="both"/>
      <w:textAlignment w:val="top"/>
      <w:outlineLvl w:val="0"/>
    </w:pPr>
    <w:rPr>
      <w:rFonts w:ascii="Book Antiqua" w:eastAsia="Book Antiqua" w:hAnsi="Book Antiqua" w:cs="Book Antiqua"/>
      <w:color w:val="000000"/>
      <w:position w:val="-1"/>
      <w:sz w:val="22"/>
      <w:szCs w:val="22"/>
      <w:lang w:eastAsia="id-ID"/>
    </w:rPr>
  </w:style>
  <w:style w:type="character" w:customStyle="1" w:styleId="apple-converted-space">
    <w:name w:val="apple-converted-space"/>
    <w:basedOn w:val="DefaultParagraphFont"/>
    <w:qFormat/>
    <w:rPr>
      <w:w w:val="100"/>
      <w:position w:val="-1"/>
      <w:vertAlign w:val="baseline"/>
      <w:cs w:val="0"/>
    </w:rPr>
  </w:style>
  <w:style w:type="table" w:customStyle="1" w:styleId="PlainTable21">
    <w:name w:val="Plain Table 21"/>
    <w:basedOn w:val="TableNormal1"/>
    <w:qFormat/>
    <w:pPr>
      <w:suppressAutoHyphens/>
      <w:ind w:leftChars="-1" w:left="-1" w:hangingChars="1" w:hanging="1"/>
      <w:textAlignment w:val="top"/>
      <w:outlineLvl w:val="0"/>
    </w:pPr>
    <w:rPr>
      <w:rFonts w:ascii="Calibri" w:eastAsia="Calibri" w:hAnsi="Calibri"/>
      <w:position w:val="-1"/>
    </w:rPr>
    <w:tblPr>
      <w:tblBorders>
        <w:top w:val="single" w:sz="4" w:space="0" w:color="7F7F7F"/>
        <w:bottom w:val="single" w:sz="4" w:space="0" w:color="7F7F7F"/>
      </w:tblBorders>
    </w:tbl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CommentSubjectChar">
    <w:name w:val="Comment Subject Char"/>
    <w:rPr>
      <w:rFonts w:ascii="Calibri" w:eastAsia="Calibri" w:hAnsi="Calibri" w:cs="Times New Roman"/>
      <w:b/>
      <w:bCs/>
      <w:w w:val="100"/>
      <w:position w:val="-1"/>
      <w:sz w:val="20"/>
      <w:szCs w:val="20"/>
      <w:vertAlign w:val="baseline"/>
      <w:cs w:val="0"/>
    </w:rPr>
  </w:style>
  <w:style w:type="paragraph" w:customStyle="1" w:styleId="Stylejudul2">
    <w:name w:val="Stylejudul2"/>
    <w:basedOn w:val="NormalARTICLE"/>
    <w:pPr>
      <w:spacing w:line="480" w:lineRule="auto"/>
      <w:ind w:firstLine="0"/>
    </w:pPr>
    <w:rPr>
      <w:rFonts w:ascii="Times New Roman" w:eastAsia="Calibri" w:hAnsi="Times New Roman"/>
      <w:b/>
      <w:sz w:val="24"/>
      <w:szCs w:val="22"/>
    </w:rPr>
  </w:style>
  <w:style w:type="character" w:customStyle="1" w:styleId="Stylejudul2Char">
    <w:name w:val="Stylejudul2 Char"/>
    <w:rPr>
      <w:b/>
      <w:w w:val="100"/>
      <w:position w:val="-1"/>
      <w:sz w:val="24"/>
      <w:vertAlign w:val="baseline"/>
      <w:cs w:val="0"/>
      <w:lang w:val="id-ID"/>
    </w:rPr>
  </w:style>
  <w:style w:type="paragraph" w:customStyle="1" w:styleId="Stylejudul3">
    <w:name w:val="Stylejudul3"/>
    <w:basedOn w:val="NormalARTICLE"/>
    <w:qFormat/>
    <w:pPr>
      <w:spacing w:line="480" w:lineRule="auto"/>
      <w:ind w:firstLine="0"/>
    </w:pPr>
    <w:rPr>
      <w:rFonts w:ascii="Times New Roman" w:eastAsia="Calibri" w:hAnsi="Times New Roman"/>
      <w:sz w:val="24"/>
      <w:szCs w:val="22"/>
    </w:rPr>
  </w:style>
  <w:style w:type="paragraph" w:customStyle="1" w:styleId="Stylejudul4">
    <w:name w:val="Stylejudul4"/>
    <w:basedOn w:val="NormalARTICLE"/>
    <w:pPr>
      <w:spacing w:line="480" w:lineRule="auto"/>
      <w:ind w:firstLine="0"/>
    </w:pPr>
    <w:rPr>
      <w:rFonts w:ascii="Times New Roman" w:eastAsia="Calibri" w:hAnsi="Times New Roman"/>
      <w:sz w:val="24"/>
      <w:szCs w:val="22"/>
    </w:rPr>
  </w:style>
  <w:style w:type="character" w:customStyle="1" w:styleId="Stylejudul3Char">
    <w:name w:val="Stylejudul3 Char"/>
    <w:rPr>
      <w:w w:val="100"/>
      <w:position w:val="-1"/>
      <w:sz w:val="24"/>
      <w:vertAlign w:val="baseline"/>
      <w:cs w:val="0"/>
      <w:lang w:val="id-ID"/>
    </w:rPr>
  </w:style>
  <w:style w:type="character" w:customStyle="1" w:styleId="Stylejudul4Char">
    <w:name w:val="Stylejudul4 Char"/>
    <w:rPr>
      <w:w w:val="100"/>
      <w:position w:val="-1"/>
      <w:sz w:val="24"/>
      <w:vertAlign w:val="baseline"/>
      <w:cs w:val="0"/>
      <w:lang w:val="id-ID"/>
    </w:rPr>
  </w:style>
  <w:style w:type="character" w:customStyle="1" w:styleId="CharAttribute12">
    <w:name w:val="CharAttribute12"/>
    <w:qFormat/>
    <w:rPr>
      <w:rFonts w:ascii="Times New Roman" w:eastAsia="Times New Roman"/>
      <w:i/>
      <w:w w:val="100"/>
      <w:position w:val="-1"/>
      <w:sz w:val="24"/>
      <w:vertAlign w:val="baseline"/>
      <w:cs w:val="0"/>
    </w:rPr>
  </w:style>
  <w:style w:type="table" w:customStyle="1" w:styleId="ListTable6Colorful1">
    <w:name w:val="List Table 6 Colorful1"/>
    <w:basedOn w:val="TableNormal1"/>
    <w:qFormat/>
    <w:pPr>
      <w:suppressAutoHyphens/>
      <w:ind w:leftChars="-1" w:left="-1" w:hangingChars="1" w:hanging="1"/>
      <w:textAlignment w:val="top"/>
      <w:outlineLvl w:val="0"/>
    </w:pPr>
    <w:rPr>
      <w:rFonts w:ascii="Calibri" w:eastAsia="Calibri" w:hAnsi="Calibri"/>
      <w:color w:val="000000"/>
      <w:position w:val="-1"/>
    </w:rPr>
    <w:tblPr>
      <w:tblBorders>
        <w:top w:val="single" w:sz="4" w:space="0" w:color="000000"/>
        <w:bottom w:val="single" w:sz="4" w:space="0" w:color="000000"/>
      </w:tblBorders>
    </w:tblPr>
  </w:style>
  <w:style w:type="character" w:styleId="PlaceholderText">
    <w:name w:val="Placeholder Text"/>
    <w:rPr>
      <w:color w:val="808080"/>
      <w:w w:val="100"/>
      <w:position w:val="-1"/>
      <w:vertAlign w:val="baseline"/>
      <w:cs w:val="0"/>
    </w:rPr>
  </w:style>
  <w:style w:type="paragraph" w:customStyle="1" w:styleId="xl65">
    <w:name w:val="xl65"/>
    <w:basedOn w:val="NormalARTICLE"/>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ARTICLE"/>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ARTICLE"/>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ARTICLE"/>
    <w:qFormat/>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ARTICLE"/>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ARTICLE"/>
    <w:qFormat/>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ARTICLE"/>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ARTICLE"/>
    <w:qFormat/>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ARTICLE"/>
    <w:qFormat/>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ARTICLE"/>
    <w:qFormat/>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ARTICLE"/>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ARTICLE"/>
    <w:qFormat/>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ARTICL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ARTICLE"/>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ARTICLE"/>
    <w:qFormat/>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ARTICLE"/>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ARTICLE"/>
    <w:qFormat/>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ARTICLE"/>
    <w:qFormat/>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ARTICLE"/>
    <w:qFormat/>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ARTICLE"/>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ARTICLE"/>
    <w:qFormat/>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ARTICLE"/>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ARTICLE"/>
    <w:qFormat/>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ARTICLE"/>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ARTICLE"/>
    <w:qFormat/>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ARTICLE"/>
    <w:qFormat/>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ARTICLE"/>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ARTICLE"/>
    <w:qFormat/>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ARTICLE"/>
    <w:qFormat/>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ARTICLE"/>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ARTICLE"/>
    <w:qFormat/>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ARTICLE"/>
    <w:qFormat/>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ARTICLE"/>
    <w:qFormat/>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ARTICLE"/>
    <w:qFormat/>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ARTICLE"/>
    <w:qFormat/>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ARTICLE"/>
    <w:qFormat/>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ARTICLE"/>
    <w:qFormat/>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ARTICLE"/>
    <w:qFormat/>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ARTICL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ARTICLE"/>
    <w:qFormat/>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ARTICLE"/>
    <w:qFormat/>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ARTICLE"/>
    <w:qFormat/>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ARTICLE"/>
    <w:qFormat/>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ARTICLE"/>
    <w:qFormat/>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ARTICLE"/>
    <w:qFormat/>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ARTICLE"/>
    <w:qFormat/>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ARTICLE"/>
    <w:qFormat/>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ARTICLE"/>
    <w:qFormat/>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ARTICLE"/>
    <w:qFormat/>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ARTICLE"/>
    <w:qFormat/>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ARTICLE"/>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ARTICLE"/>
    <w:qFormat/>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ARTICLE"/>
    <w:qFormat/>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ARTICLE"/>
    <w:qFormat/>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ARTICLE"/>
    <w:qFormat/>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ARTICLE"/>
    <w:qFormat/>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ARTICLE"/>
    <w:qFormat/>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ARTICLE"/>
    <w:qFormat/>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ARTICLE"/>
    <w:qFormat/>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ARTICLE"/>
    <w:qFormat/>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ARTICLE"/>
    <w:qFormat/>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ARTICLE"/>
    <w:qFormat/>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ARTICLE"/>
    <w:qFormat/>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1">
    <w:name w:val="Unresolved Mention1"/>
    <w:qFormat/>
    <w:rPr>
      <w:color w:val="605E5C"/>
      <w:w w:val="100"/>
      <w:position w:val="-1"/>
      <w:shd w:val="clear" w:color="auto" w:fill="E1DFDD"/>
      <w:vertAlign w:val="baseline"/>
      <w:cs w:val="0"/>
    </w:rPr>
  </w:style>
  <w:style w:type="character" w:customStyle="1" w:styleId="title-text">
    <w:name w:val="title-text"/>
    <w:basedOn w:val="DefaultParagraphFont"/>
    <w:qFormat/>
    <w:rPr>
      <w:w w:val="100"/>
      <w:position w:val="-1"/>
      <w:vertAlign w:val="baseline"/>
      <w:cs w:val="0"/>
    </w:rPr>
  </w:style>
  <w:style w:type="character" w:customStyle="1" w:styleId="sr-only">
    <w:name w:val="sr-only"/>
    <w:basedOn w:val="DefaultParagraphFont"/>
    <w:qFormat/>
    <w:rPr>
      <w:w w:val="100"/>
      <w:position w:val="-1"/>
      <w:vertAlign w:val="baseline"/>
      <w:cs w:val="0"/>
    </w:rPr>
  </w:style>
  <w:style w:type="character" w:customStyle="1" w:styleId="text">
    <w:name w:val="text"/>
    <w:basedOn w:val="DefaultParagraphFont"/>
    <w:qFormat/>
    <w:rPr>
      <w:w w:val="100"/>
      <w:position w:val="-1"/>
      <w:vertAlign w:val="baseline"/>
      <w:cs w:val="0"/>
    </w:rPr>
  </w:style>
  <w:style w:type="paragraph" w:customStyle="1" w:styleId="CM64">
    <w:name w:val="CM64"/>
    <w:basedOn w:val="Default"/>
    <w:next w:val="Default"/>
    <w:qFormat/>
    <w:pPr>
      <w:widowControl w:val="0"/>
      <w:spacing w:after="145"/>
    </w:pPr>
    <w:rPr>
      <w:rFonts w:ascii="Times New Roman" w:hAnsi="Times New Roman" w:cs="Times New Roman"/>
      <w:color w:val="auto"/>
      <w:lang w:val="id-ID" w:eastAsia="id-ID"/>
    </w:rPr>
  </w:style>
  <w:style w:type="paragraph" w:customStyle="1" w:styleId="CM50">
    <w:name w:val="CM50"/>
    <w:basedOn w:val="Default"/>
    <w:next w:val="Default"/>
    <w:qFormat/>
    <w:pPr>
      <w:widowControl w:val="0"/>
    </w:pPr>
    <w:rPr>
      <w:rFonts w:ascii="Times New Roman" w:hAnsi="Times New Roman" w:cs="Times New Roman"/>
      <w:color w:val="auto"/>
      <w:lang w:val="id-ID" w:eastAsia="id-ID"/>
    </w:rPr>
  </w:style>
  <w:style w:type="paragraph" w:customStyle="1" w:styleId="CM8">
    <w:name w:val="CM8"/>
    <w:basedOn w:val="Default"/>
    <w:next w:val="Default"/>
    <w:qFormat/>
    <w:pPr>
      <w:widowControl w:val="0"/>
      <w:spacing w:line="553" w:lineRule="atLeast"/>
    </w:pPr>
    <w:rPr>
      <w:rFonts w:ascii="Times New Roman" w:hAnsi="Times New Roman" w:cs="Times New Roman"/>
      <w:color w:val="auto"/>
      <w:lang w:val="id-ID" w:eastAsia="id-ID"/>
    </w:rPr>
  </w:style>
  <w:style w:type="table" w:customStyle="1" w:styleId="Style240">
    <w:name w:val="_Style 240"/>
    <w:basedOn w:val="TableNormal1"/>
    <w:qFormat/>
    <w:tblPr/>
  </w:style>
  <w:style w:type="table" w:customStyle="1" w:styleId="Style241">
    <w:name w:val="_Style 241"/>
    <w:basedOn w:val="TableNormal1"/>
    <w:qFormat/>
    <w:tblPr/>
  </w:style>
  <w:style w:type="table" w:customStyle="1" w:styleId="Style243">
    <w:name w:val="_Style 243"/>
    <w:basedOn w:val="TableNormal1"/>
    <w:qFormat/>
    <w:pPr>
      <w:ind w:hanging="1"/>
    </w:pPr>
    <w:rPr>
      <w:rFonts w:ascii="Calibri" w:eastAsia="Calibri" w:hAnsi="Calibri" w:cs="Calibri"/>
      <w:color w:val="000000"/>
    </w:rPr>
    <w:tblPr>
      <w:tblCellMar>
        <w:left w:w="108" w:type="dxa"/>
        <w:right w:w="108" w:type="dxa"/>
      </w:tblCellMar>
    </w:tblPr>
  </w:style>
  <w:style w:type="table" w:customStyle="1" w:styleId="Style244">
    <w:name w:val="_Style 244"/>
    <w:basedOn w:val="TableNormal1"/>
    <w:qFormat/>
    <w:pPr>
      <w:ind w:hanging="1"/>
    </w:pPr>
    <w:rPr>
      <w:rFonts w:ascii="Calibri" w:eastAsia="Calibri" w:hAnsi="Calibri" w:cs="Calibri"/>
      <w:color w:val="000000"/>
    </w:rPr>
    <w:tblPr>
      <w:tblCellMar>
        <w:left w:w="108" w:type="dxa"/>
        <w:right w:w="108" w:type="dxa"/>
      </w:tblCellMar>
    </w:tblPr>
  </w:style>
  <w:style w:type="paragraph" w:customStyle="1" w:styleId="Figure">
    <w:name w:val="Figure"/>
    <w:basedOn w:val="Normal"/>
    <w:pPr>
      <w:keepNext/>
      <w:spacing w:after="120"/>
      <w:jc w:val="center"/>
    </w:pPr>
    <w:rPr>
      <w:rFonts w:ascii="Open Sans" w:eastAsia="Open Sans" w:hAnsi="Open Sans" w:cs="Open Sans"/>
      <w:b/>
      <w:i/>
      <w:color w:val="FF0000"/>
      <w:sz w:val="18"/>
      <w:szCs w:val="18"/>
    </w:rPr>
  </w:style>
  <w:style w:type="character" w:customStyle="1" w:styleId="AFFILIATIONChar1">
    <w:name w:val="AFFILIATION Char1"/>
    <w:link w:val="AFFILIATION"/>
    <w:rPr>
      <w:i/>
      <w:sz w:val="18"/>
    </w:rPr>
  </w:style>
  <w:style w:type="character" w:customStyle="1" w:styleId="EMAILChar1">
    <w:name w:val="EMAIL Char1"/>
    <w:link w:val="EMAIL"/>
    <w:rPr>
      <w:sz w:val="18"/>
    </w:rPr>
  </w:style>
  <w:style w:type="character" w:customStyle="1" w:styleId="TitleChar">
    <w:name w:val="Title Char"/>
    <w:link w:val="Title"/>
    <w:rPr>
      <w:b/>
      <w:sz w:val="72"/>
      <w:szCs w:val="72"/>
      <w:lang w:val="id-ID"/>
    </w:rPr>
  </w:style>
  <w:style w:type="character" w:customStyle="1" w:styleId="Heading2Char">
    <w:name w:val="Heading 2 Char"/>
    <w:link w:val="Heading2"/>
    <w:rPr>
      <w:b/>
      <w:sz w:val="36"/>
      <w:szCs w:val="36"/>
      <w:lang w:val="id-ID"/>
    </w:rPr>
  </w:style>
  <w:style w:type="character" w:customStyle="1" w:styleId="CABSTRACTChar1">
    <w:name w:val="C_ABSTRACT Char1"/>
    <w:link w:val="CABSTRACT"/>
    <w:rPr>
      <w:i/>
      <w:sz w:val="18"/>
    </w:rPr>
  </w:style>
  <w:style w:type="character" w:customStyle="1" w:styleId="KEYWORDSChar1">
    <w:name w:val="KEYWORDS Char1"/>
    <w:link w:val="KEYWORDS"/>
    <w:rPr>
      <w:i/>
      <w:sz w:val="18"/>
    </w:rPr>
  </w:style>
  <w:style w:type="table" w:customStyle="1" w:styleId="2">
    <w:name w:val="2"/>
    <w:basedOn w:val="TableNormal"/>
    <w:pPr>
      <w:ind w:hanging="1"/>
    </w:pPr>
    <w:rPr>
      <w:rFonts w:ascii="Calibri" w:eastAsia="Calibri" w:hAnsi="Calibri" w:cs="Calibri"/>
      <w:color w:val="000000"/>
    </w:rPr>
    <w:tblPr>
      <w:tblStyleRowBandSize w:val="1"/>
      <w:tblStyleColBandSize w:val="1"/>
    </w:tblPr>
  </w:style>
  <w:style w:type="table" w:customStyle="1" w:styleId="1">
    <w:name w:val="1"/>
    <w:basedOn w:val="TableNormal"/>
    <w:pPr>
      <w:ind w:hanging="1"/>
    </w:pPr>
    <w:rPr>
      <w:rFonts w:ascii="Calibri" w:eastAsia="Calibri" w:hAnsi="Calibri" w:cs="Calibri"/>
      <w:color w:val="000000"/>
    </w:rPr>
    <w:tblPr>
      <w:tblStyleRowBandSize w:val="1"/>
      <w:tblStyleColBandSize w:val="1"/>
    </w:tblPr>
  </w:style>
  <w:style w:type="paragraph" w:styleId="ListParagraph">
    <w:name w:val="List Paragraph"/>
    <w:basedOn w:val="Normal"/>
    <w:uiPriority w:val="34"/>
    <w:qFormat/>
    <w:rsid w:val="0013520B"/>
    <w:pPr>
      <w:spacing w:after="200" w:line="276" w:lineRule="auto"/>
      <w:ind w:left="720"/>
      <w:contextualSpacing/>
    </w:pPr>
    <w:rPr>
      <w:rFonts w:ascii="Calibri" w:hAnsi="Calibri"/>
      <w:sz w:val="22"/>
      <w:szCs w:val="22"/>
      <w:lang w:val="en-GB" w:eastAsia="en-GB"/>
    </w:rPr>
  </w:style>
  <w:style w:type="character" w:styleId="BookTitle">
    <w:name w:val="Book Title"/>
    <w:basedOn w:val="DefaultParagraphFont"/>
    <w:uiPriority w:val="33"/>
    <w:qFormat/>
    <w:rsid w:val="0090622E"/>
    <w:rPr>
      <w:b/>
      <w:bCs/>
      <w:i/>
      <w:iCs/>
      <w:spacing w:val="5"/>
    </w:rPr>
  </w:style>
  <w:style w:type="character" w:styleId="SubtleReference">
    <w:name w:val="Subtle Reference"/>
    <w:basedOn w:val="DefaultParagraphFont"/>
    <w:uiPriority w:val="31"/>
    <w:qFormat/>
    <w:rsid w:val="00AC43BA"/>
    <w:rPr>
      <w:smallCaps/>
      <w:color w:val="5A5A5A" w:themeColor="text1" w:themeTint="A5"/>
    </w:rPr>
  </w:style>
  <w:style w:type="character" w:customStyle="1" w:styleId="y2iqfc">
    <w:name w:val="y2iqfc"/>
    <w:basedOn w:val="DefaultParagraphFont"/>
    <w:rsid w:val="0064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81335">
      <w:bodyDiv w:val="1"/>
      <w:marLeft w:val="0"/>
      <w:marRight w:val="0"/>
      <w:marTop w:val="0"/>
      <w:marBottom w:val="0"/>
      <w:divBdr>
        <w:top w:val="none" w:sz="0" w:space="0" w:color="auto"/>
        <w:left w:val="none" w:sz="0" w:space="0" w:color="auto"/>
        <w:bottom w:val="none" w:sz="0" w:space="0" w:color="auto"/>
        <w:right w:val="none" w:sz="0" w:space="0" w:color="auto"/>
      </w:divBdr>
    </w:div>
    <w:div w:id="178546460">
      <w:bodyDiv w:val="1"/>
      <w:marLeft w:val="0"/>
      <w:marRight w:val="0"/>
      <w:marTop w:val="0"/>
      <w:marBottom w:val="0"/>
      <w:divBdr>
        <w:top w:val="none" w:sz="0" w:space="0" w:color="auto"/>
        <w:left w:val="none" w:sz="0" w:space="0" w:color="auto"/>
        <w:bottom w:val="none" w:sz="0" w:space="0" w:color="auto"/>
        <w:right w:val="none" w:sz="0" w:space="0" w:color="auto"/>
      </w:divBdr>
    </w:div>
    <w:div w:id="648020418">
      <w:bodyDiv w:val="1"/>
      <w:marLeft w:val="0"/>
      <w:marRight w:val="0"/>
      <w:marTop w:val="0"/>
      <w:marBottom w:val="0"/>
      <w:divBdr>
        <w:top w:val="none" w:sz="0" w:space="0" w:color="auto"/>
        <w:left w:val="none" w:sz="0" w:space="0" w:color="auto"/>
        <w:bottom w:val="none" w:sz="0" w:space="0" w:color="auto"/>
        <w:right w:val="none" w:sz="0" w:space="0" w:color="auto"/>
      </w:divBdr>
    </w:div>
    <w:div w:id="673263614">
      <w:bodyDiv w:val="1"/>
      <w:marLeft w:val="0"/>
      <w:marRight w:val="0"/>
      <w:marTop w:val="0"/>
      <w:marBottom w:val="0"/>
      <w:divBdr>
        <w:top w:val="none" w:sz="0" w:space="0" w:color="auto"/>
        <w:left w:val="none" w:sz="0" w:space="0" w:color="auto"/>
        <w:bottom w:val="none" w:sz="0" w:space="0" w:color="auto"/>
        <w:right w:val="none" w:sz="0" w:space="0" w:color="auto"/>
      </w:divBdr>
    </w:div>
    <w:div w:id="835194214">
      <w:bodyDiv w:val="1"/>
      <w:marLeft w:val="0"/>
      <w:marRight w:val="0"/>
      <w:marTop w:val="0"/>
      <w:marBottom w:val="0"/>
      <w:divBdr>
        <w:top w:val="none" w:sz="0" w:space="0" w:color="auto"/>
        <w:left w:val="none" w:sz="0" w:space="0" w:color="auto"/>
        <w:bottom w:val="none" w:sz="0" w:space="0" w:color="auto"/>
        <w:right w:val="none" w:sz="0" w:space="0" w:color="auto"/>
      </w:divBdr>
    </w:div>
    <w:div w:id="885751222">
      <w:bodyDiv w:val="1"/>
      <w:marLeft w:val="0"/>
      <w:marRight w:val="0"/>
      <w:marTop w:val="0"/>
      <w:marBottom w:val="0"/>
      <w:divBdr>
        <w:top w:val="none" w:sz="0" w:space="0" w:color="auto"/>
        <w:left w:val="none" w:sz="0" w:space="0" w:color="auto"/>
        <w:bottom w:val="none" w:sz="0" w:space="0" w:color="auto"/>
        <w:right w:val="none" w:sz="0" w:space="0" w:color="auto"/>
      </w:divBdr>
    </w:div>
    <w:div w:id="917400872">
      <w:bodyDiv w:val="1"/>
      <w:marLeft w:val="0"/>
      <w:marRight w:val="0"/>
      <w:marTop w:val="0"/>
      <w:marBottom w:val="0"/>
      <w:divBdr>
        <w:top w:val="none" w:sz="0" w:space="0" w:color="auto"/>
        <w:left w:val="none" w:sz="0" w:space="0" w:color="auto"/>
        <w:bottom w:val="none" w:sz="0" w:space="0" w:color="auto"/>
        <w:right w:val="none" w:sz="0" w:space="0" w:color="auto"/>
      </w:divBdr>
    </w:div>
    <w:div w:id="1910579649">
      <w:bodyDiv w:val="1"/>
      <w:marLeft w:val="0"/>
      <w:marRight w:val="0"/>
      <w:marTop w:val="0"/>
      <w:marBottom w:val="0"/>
      <w:divBdr>
        <w:top w:val="none" w:sz="0" w:space="0" w:color="auto"/>
        <w:left w:val="none" w:sz="0" w:space="0" w:color="auto"/>
        <w:bottom w:val="none" w:sz="0" w:space="0" w:color="auto"/>
        <w:right w:val="none" w:sz="0" w:space="0" w:color="auto"/>
      </w:divBdr>
    </w:div>
    <w:div w:id="1958372907">
      <w:bodyDiv w:val="1"/>
      <w:marLeft w:val="0"/>
      <w:marRight w:val="0"/>
      <w:marTop w:val="0"/>
      <w:marBottom w:val="0"/>
      <w:divBdr>
        <w:top w:val="none" w:sz="0" w:space="0" w:color="auto"/>
        <w:left w:val="none" w:sz="0" w:space="0" w:color="auto"/>
        <w:bottom w:val="none" w:sz="0" w:space="0" w:color="auto"/>
        <w:right w:val="none" w:sz="0" w:space="0" w:color="auto"/>
      </w:divBdr>
    </w:div>
    <w:div w:id="1984580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yperlink" Target="mailto:chldatuef@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pdmbengkulu.org/index.php/bim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37638/bima.2.1.67-7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Periode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Sheet1!$A$2:$A$41</c:f>
              <c:numCache>
                <c:formatCode>General</c:formatCode>
                <c:ptCount val="40"/>
                <c:pt idx="0">
                  <c:v>2013</c:v>
                </c:pt>
                <c:pt idx="4">
                  <c:v>2014</c:v>
                </c:pt>
                <c:pt idx="8">
                  <c:v>2015</c:v>
                </c:pt>
                <c:pt idx="12">
                  <c:v>2016</c:v>
                </c:pt>
                <c:pt idx="16">
                  <c:v>2017</c:v>
                </c:pt>
                <c:pt idx="20">
                  <c:v>2018</c:v>
                </c:pt>
                <c:pt idx="24">
                  <c:v>2019</c:v>
                </c:pt>
                <c:pt idx="28">
                  <c:v>2020</c:v>
                </c:pt>
                <c:pt idx="32">
                  <c:v>2021</c:v>
                </c:pt>
                <c:pt idx="36">
                  <c:v>2022</c:v>
                </c:pt>
              </c:numCache>
            </c:numRef>
          </c:cat>
          <c:val>
            <c:numRef>
              <c:f>Sheet1!$B$2:$B$41</c:f>
              <c:numCache>
                <c:formatCode>General</c:formatCode>
                <c:ptCount val="4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numCache>
            </c:numRef>
          </c:val>
          <c:smooth val="0"/>
          <c:extLst>
            <c:ext xmlns:c16="http://schemas.microsoft.com/office/drawing/2014/chart" uri="{C3380CC4-5D6E-409C-BE32-E72D297353CC}">
              <c16:uniqueId val="{00000000-E782-4234-A68C-57D7EC1FE235}"/>
            </c:ext>
          </c:extLst>
        </c:ser>
        <c:ser>
          <c:idx val="1"/>
          <c:order val="1"/>
          <c:tx>
            <c:strRef>
              <c:f>Sheet1!$C$1</c:f>
              <c:strCache>
                <c:ptCount val="1"/>
                <c:pt idx="0">
                  <c:v>BBRI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Sheet1!$A$2:$A$41</c:f>
              <c:numCache>
                <c:formatCode>General</c:formatCode>
                <c:ptCount val="40"/>
                <c:pt idx="0">
                  <c:v>2013</c:v>
                </c:pt>
                <c:pt idx="4">
                  <c:v>2014</c:v>
                </c:pt>
                <c:pt idx="8">
                  <c:v>2015</c:v>
                </c:pt>
                <c:pt idx="12">
                  <c:v>2016</c:v>
                </c:pt>
                <c:pt idx="16">
                  <c:v>2017</c:v>
                </c:pt>
                <c:pt idx="20">
                  <c:v>2018</c:v>
                </c:pt>
                <c:pt idx="24">
                  <c:v>2019</c:v>
                </c:pt>
                <c:pt idx="28">
                  <c:v>2020</c:v>
                </c:pt>
                <c:pt idx="32">
                  <c:v>2021</c:v>
                </c:pt>
                <c:pt idx="36">
                  <c:v>2022</c:v>
                </c:pt>
              </c:numCache>
            </c:numRef>
          </c:cat>
          <c:val>
            <c:numRef>
              <c:f>Sheet1!$C$2:$C$41</c:f>
              <c:numCache>
                <c:formatCode>General</c:formatCode>
                <c:ptCount val="40"/>
                <c:pt idx="0">
                  <c:v>3.3395999999999999</c:v>
                </c:pt>
                <c:pt idx="1">
                  <c:v>2.7860749999999999</c:v>
                </c:pt>
                <c:pt idx="2">
                  <c:v>2.4253279999999999</c:v>
                </c:pt>
                <c:pt idx="3">
                  <c:v>2.2545980000000001</c:v>
                </c:pt>
                <c:pt idx="4">
                  <c:v>2.9864820000000001</c:v>
                </c:pt>
                <c:pt idx="5">
                  <c:v>2.9948779999999999</c:v>
                </c:pt>
                <c:pt idx="6">
                  <c:v>2.8120099999999999</c:v>
                </c:pt>
                <c:pt idx="7">
                  <c:v>2.9414389999999999</c:v>
                </c:pt>
                <c:pt idx="8">
                  <c:v>0.68155399999999999</c:v>
                </c:pt>
                <c:pt idx="9">
                  <c:v>0.49965599999999999</c:v>
                </c:pt>
                <c:pt idx="10">
                  <c:v>0.39651399999999998</c:v>
                </c:pt>
                <c:pt idx="11">
                  <c:v>0.49403599999999998</c:v>
                </c:pt>
                <c:pt idx="12">
                  <c:v>0.49510199999999999</c:v>
                </c:pt>
                <c:pt idx="13">
                  <c:v>0.395069</c:v>
                </c:pt>
                <c:pt idx="14">
                  <c:v>0.42323899999999998</c:v>
                </c:pt>
                <c:pt idx="15">
                  <c:v>0.38882800000000001</c:v>
                </c:pt>
                <c:pt idx="16">
                  <c:v>2.2212190000000001</c:v>
                </c:pt>
                <c:pt idx="17">
                  <c:v>2.4966140000000001</c:v>
                </c:pt>
                <c:pt idx="18">
                  <c:v>2.3757429999999999</c:v>
                </c:pt>
                <c:pt idx="19">
                  <c:v>2.6723690000000002</c:v>
                </c:pt>
                <c:pt idx="20">
                  <c:v>2.7643330000000002</c:v>
                </c:pt>
                <c:pt idx="21">
                  <c:v>2.1016490000000001</c:v>
                </c:pt>
                <c:pt idx="22">
                  <c:v>2.2151689999999999</c:v>
                </c:pt>
                <c:pt idx="23">
                  <c:v>2.43662</c:v>
                </c:pt>
                <c:pt idx="24">
                  <c:v>2.6009310000000001</c:v>
                </c:pt>
                <c:pt idx="25">
                  <c:v>2.8179919999999998</c:v>
                </c:pt>
                <c:pt idx="26">
                  <c:v>2.5467840000000002</c:v>
                </c:pt>
                <c:pt idx="27">
                  <c:v>2.5994359999999999</c:v>
                </c:pt>
                <c:pt idx="28">
                  <c:v>2.0736289999999999</c:v>
                </c:pt>
                <c:pt idx="29">
                  <c:v>1.989711</c:v>
                </c:pt>
                <c:pt idx="30">
                  <c:v>1.9262090000000001</c:v>
                </c:pt>
                <c:pt idx="31">
                  <c:v>2.2415090000000002</c:v>
                </c:pt>
                <c:pt idx="32">
                  <c:v>2.786556</c:v>
                </c:pt>
                <c:pt idx="33">
                  <c:v>2.4274450000000001</c:v>
                </c:pt>
                <c:pt idx="34">
                  <c:v>2.0818340000000002</c:v>
                </c:pt>
                <c:pt idx="35">
                  <c:v>2.1348039999999999</c:v>
                </c:pt>
                <c:pt idx="36">
                  <c:v>2.5590570000000001</c:v>
                </c:pt>
                <c:pt idx="37">
                  <c:v>2.1971569999999998</c:v>
                </c:pt>
                <c:pt idx="38">
                  <c:v>2.2657980000000002</c:v>
                </c:pt>
                <c:pt idx="39">
                  <c:v>2.4677419999999999</c:v>
                </c:pt>
              </c:numCache>
            </c:numRef>
          </c:val>
          <c:smooth val="0"/>
          <c:extLst>
            <c:ext xmlns:c16="http://schemas.microsoft.com/office/drawing/2014/chart" uri="{C3380CC4-5D6E-409C-BE32-E72D297353CC}">
              <c16:uniqueId val="{00000001-E782-4234-A68C-57D7EC1FE235}"/>
            </c:ext>
          </c:extLst>
        </c:ser>
        <c:ser>
          <c:idx val="2"/>
          <c:order val="2"/>
          <c:tx>
            <c:strRef>
              <c:f>Sheet1!$D$1</c:f>
              <c:strCache>
                <c:ptCount val="1"/>
                <c:pt idx="0">
                  <c:v>BBTN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Sheet1!$A$2:$A$41</c:f>
              <c:numCache>
                <c:formatCode>General</c:formatCode>
                <c:ptCount val="40"/>
                <c:pt idx="0">
                  <c:v>2013</c:v>
                </c:pt>
                <c:pt idx="4">
                  <c:v>2014</c:v>
                </c:pt>
                <c:pt idx="8">
                  <c:v>2015</c:v>
                </c:pt>
                <c:pt idx="12">
                  <c:v>2016</c:v>
                </c:pt>
                <c:pt idx="16">
                  <c:v>2017</c:v>
                </c:pt>
                <c:pt idx="20">
                  <c:v>2018</c:v>
                </c:pt>
                <c:pt idx="24">
                  <c:v>2019</c:v>
                </c:pt>
                <c:pt idx="28">
                  <c:v>2020</c:v>
                </c:pt>
                <c:pt idx="32">
                  <c:v>2021</c:v>
                </c:pt>
                <c:pt idx="36">
                  <c:v>2022</c:v>
                </c:pt>
              </c:numCache>
            </c:numRef>
          </c:cat>
          <c:val>
            <c:numRef>
              <c:f>Sheet1!$D$2:$D$41</c:f>
              <c:numCache>
                <c:formatCode>General</c:formatCode>
                <c:ptCount val="40"/>
                <c:pt idx="0">
                  <c:v>1.6197280000000001</c:v>
                </c:pt>
                <c:pt idx="1">
                  <c:v>1.818103</c:v>
                </c:pt>
                <c:pt idx="2">
                  <c:v>1.7345649999999999</c:v>
                </c:pt>
                <c:pt idx="3">
                  <c:v>1.548726</c:v>
                </c:pt>
                <c:pt idx="4">
                  <c:v>1.809388</c:v>
                </c:pt>
                <c:pt idx="5">
                  <c:v>1.5998699999999999</c:v>
                </c:pt>
                <c:pt idx="6">
                  <c:v>1.7803260000000001</c:v>
                </c:pt>
                <c:pt idx="7">
                  <c:v>1.864214</c:v>
                </c:pt>
                <c:pt idx="8">
                  <c:v>2.1780059999999999</c:v>
                </c:pt>
                <c:pt idx="9">
                  <c:v>1.618736</c:v>
                </c:pt>
                <c:pt idx="10">
                  <c:v>1.211743</c:v>
                </c:pt>
                <c:pt idx="11">
                  <c:v>1.1863710000000001</c:v>
                </c:pt>
                <c:pt idx="12">
                  <c:v>1.2084710000000001</c:v>
                </c:pt>
                <c:pt idx="13">
                  <c:v>1.1665829999999999</c:v>
                </c:pt>
                <c:pt idx="14">
                  <c:v>1.1154360000000001</c:v>
                </c:pt>
                <c:pt idx="15">
                  <c:v>1.1543890000000001</c:v>
                </c:pt>
                <c:pt idx="16">
                  <c:v>1.3494619999999999</c:v>
                </c:pt>
                <c:pt idx="17">
                  <c:v>1.3224199999999999</c:v>
                </c:pt>
                <c:pt idx="18">
                  <c:v>1.4181919999999999</c:v>
                </c:pt>
                <c:pt idx="19">
                  <c:v>1.8296889999999999</c:v>
                </c:pt>
                <c:pt idx="20">
                  <c:v>1.632266</c:v>
                </c:pt>
                <c:pt idx="21">
                  <c:v>1.310073</c:v>
                </c:pt>
                <c:pt idx="22">
                  <c:v>1.32667</c:v>
                </c:pt>
                <c:pt idx="23">
                  <c:v>1.4868399999999999</c:v>
                </c:pt>
                <c:pt idx="24">
                  <c:v>1.513245</c:v>
                </c:pt>
                <c:pt idx="25">
                  <c:v>1.470032</c:v>
                </c:pt>
                <c:pt idx="26">
                  <c:v>1.1302319999999999</c:v>
                </c:pt>
                <c:pt idx="27">
                  <c:v>1.2173099999999999</c:v>
                </c:pt>
                <c:pt idx="28">
                  <c:v>0.64855600000000002</c:v>
                </c:pt>
                <c:pt idx="29">
                  <c:v>0.76015600000000005</c:v>
                </c:pt>
                <c:pt idx="30">
                  <c:v>0.76560399999999995</c:v>
                </c:pt>
                <c:pt idx="31">
                  <c:v>1.066891</c:v>
                </c:pt>
                <c:pt idx="32">
                  <c:v>0.94576400000000005</c:v>
                </c:pt>
                <c:pt idx="33">
                  <c:v>0.75660400000000005</c:v>
                </c:pt>
                <c:pt idx="34">
                  <c:v>0.85437399999999997</c:v>
                </c:pt>
                <c:pt idx="35">
                  <c:v>1.036195</c:v>
                </c:pt>
                <c:pt idx="36">
                  <c:v>1.2449779999999999</c:v>
                </c:pt>
                <c:pt idx="37">
                  <c:v>1.1807160000000001</c:v>
                </c:pt>
                <c:pt idx="38">
                  <c:v>1.3129010000000001</c:v>
                </c:pt>
                <c:pt idx="39">
                  <c:v>1.2880769999999999</c:v>
                </c:pt>
              </c:numCache>
            </c:numRef>
          </c:val>
          <c:smooth val="0"/>
          <c:extLst>
            <c:ext xmlns:c16="http://schemas.microsoft.com/office/drawing/2014/chart" uri="{C3380CC4-5D6E-409C-BE32-E72D297353CC}">
              <c16:uniqueId val="{00000002-E782-4234-A68C-57D7EC1FE235}"/>
            </c:ext>
          </c:extLst>
        </c:ser>
        <c:ser>
          <c:idx val="3"/>
          <c:order val="3"/>
          <c:tx>
            <c:strRef>
              <c:f>Sheet1!$E$1</c:f>
              <c:strCache>
                <c:ptCount val="1"/>
                <c:pt idx="0">
                  <c:v>BMRI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Sheet1!$A$2:$A$41</c:f>
              <c:numCache>
                <c:formatCode>General</c:formatCode>
                <c:ptCount val="40"/>
                <c:pt idx="0">
                  <c:v>2013</c:v>
                </c:pt>
                <c:pt idx="4">
                  <c:v>2014</c:v>
                </c:pt>
                <c:pt idx="8">
                  <c:v>2015</c:v>
                </c:pt>
                <c:pt idx="12">
                  <c:v>2016</c:v>
                </c:pt>
                <c:pt idx="16">
                  <c:v>2017</c:v>
                </c:pt>
                <c:pt idx="20">
                  <c:v>2018</c:v>
                </c:pt>
                <c:pt idx="24">
                  <c:v>2019</c:v>
                </c:pt>
                <c:pt idx="28">
                  <c:v>2020</c:v>
                </c:pt>
                <c:pt idx="32">
                  <c:v>2021</c:v>
                </c:pt>
                <c:pt idx="36">
                  <c:v>2022</c:v>
                </c:pt>
              </c:numCache>
            </c:numRef>
          </c:cat>
          <c:val>
            <c:numRef>
              <c:f>Sheet1!$E$2:$E$41</c:f>
              <c:numCache>
                <c:formatCode>General</c:formatCode>
                <c:ptCount val="40"/>
                <c:pt idx="0">
                  <c:v>2.8794590000000002</c:v>
                </c:pt>
                <c:pt idx="1">
                  <c:v>2.6427870000000002</c:v>
                </c:pt>
                <c:pt idx="2">
                  <c:v>2.2151299999999998</c:v>
                </c:pt>
                <c:pt idx="3">
                  <c:v>2.0629059999999999</c:v>
                </c:pt>
                <c:pt idx="4">
                  <c:v>2.4763869999999999</c:v>
                </c:pt>
                <c:pt idx="5">
                  <c:v>2.4150269999999998</c:v>
                </c:pt>
                <c:pt idx="6">
                  <c:v>2.373758</c:v>
                </c:pt>
                <c:pt idx="7">
                  <c:v>2.2477719999999999</c:v>
                </c:pt>
                <c:pt idx="8">
                  <c:v>2.7777579999999999</c:v>
                </c:pt>
                <c:pt idx="9">
                  <c:v>2.1462210000000002</c:v>
                </c:pt>
                <c:pt idx="10">
                  <c:v>1.634449</c:v>
                </c:pt>
                <c:pt idx="11">
                  <c:v>1.80626</c:v>
                </c:pt>
                <c:pt idx="12">
                  <c:v>2.0359080000000001</c:v>
                </c:pt>
                <c:pt idx="13">
                  <c:v>1.510988</c:v>
                </c:pt>
                <c:pt idx="14">
                  <c:v>1.7104569999999999</c:v>
                </c:pt>
                <c:pt idx="15">
                  <c:v>1.7609950000000001</c:v>
                </c:pt>
                <c:pt idx="16">
                  <c:v>1.7981290000000001</c:v>
                </c:pt>
                <c:pt idx="17">
                  <c:v>1.8895569999999999</c:v>
                </c:pt>
                <c:pt idx="18">
                  <c:v>1.9148890000000001</c:v>
                </c:pt>
                <c:pt idx="19">
                  <c:v>2.195999</c:v>
                </c:pt>
                <c:pt idx="20">
                  <c:v>2.1680869999999999</c:v>
                </c:pt>
                <c:pt idx="21">
                  <c:v>1.879926</c:v>
                </c:pt>
                <c:pt idx="22">
                  <c:v>1.7803420000000001</c:v>
                </c:pt>
                <c:pt idx="23">
                  <c:v>1.86076</c:v>
                </c:pt>
                <c:pt idx="24">
                  <c:v>1.7951950000000001</c:v>
                </c:pt>
                <c:pt idx="25">
                  <c:v>1.974289</c:v>
                </c:pt>
                <c:pt idx="26">
                  <c:v>1.6207879999999999</c:v>
                </c:pt>
                <c:pt idx="27">
                  <c:v>1.7505630000000001</c:v>
                </c:pt>
                <c:pt idx="28">
                  <c:v>1.2308269999999999</c:v>
                </c:pt>
                <c:pt idx="29">
                  <c:v>1.2600990000000001</c:v>
                </c:pt>
                <c:pt idx="30">
                  <c:v>1.2505999999999999</c:v>
                </c:pt>
                <c:pt idx="31">
                  <c:v>1.5586070000000001</c:v>
                </c:pt>
                <c:pt idx="32">
                  <c:v>1.5801510000000001</c:v>
                </c:pt>
                <c:pt idx="33">
                  <c:v>1.456194</c:v>
                </c:pt>
                <c:pt idx="34">
                  <c:v>1.46315</c:v>
                </c:pt>
                <c:pt idx="35">
                  <c:v>1.6016349999999999</c:v>
                </c:pt>
                <c:pt idx="36">
                  <c:v>1.8894820000000001</c:v>
                </c:pt>
                <c:pt idx="37">
                  <c:v>1.825847</c:v>
                </c:pt>
                <c:pt idx="38">
                  <c:v>2.0737459999999999</c:v>
                </c:pt>
                <c:pt idx="39">
                  <c:v>2.0165839999999999</c:v>
                </c:pt>
              </c:numCache>
            </c:numRef>
          </c:val>
          <c:smooth val="0"/>
          <c:extLst>
            <c:ext xmlns:c16="http://schemas.microsoft.com/office/drawing/2014/chart" uri="{C3380CC4-5D6E-409C-BE32-E72D297353CC}">
              <c16:uniqueId val="{00000003-E782-4234-A68C-57D7EC1FE235}"/>
            </c:ext>
          </c:extLst>
        </c:ser>
        <c:ser>
          <c:idx val="4"/>
          <c:order val="4"/>
          <c:tx>
            <c:strRef>
              <c:f>Sheet1!$F$1</c:f>
              <c:strCache>
                <c:ptCount val="1"/>
                <c:pt idx="0">
                  <c:v>BBTN</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Sheet1!$A$2:$A$41</c:f>
              <c:numCache>
                <c:formatCode>General</c:formatCode>
                <c:ptCount val="40"/>
                <c:pt idx="0">
                  <c:v>2013</c:v>
                </c:pt>
                <c:pt idx="4">
                  <c:v>2014</c:v>
                </c:pt>
                <c:pt idx="8">
                  <c:v>2015</c:v>
                </c:pt>
                <c:pt idx="12">
                  <c:v>2016</c:v>
                </c:pt>
                <c:pt idx="16">
                  <c:v>2017</c:v>
                </c:pt>
                <c:pt idx="20">
                  <c:v>2018</c:v>
                </c:pt>
                <c:pt idx="24">
                  <c:v>2019</c:v>
                </c:pt>
                <c:pt idx="28">
                  <c:v>2020</c:v>
                </c:pt>
                <c:pt idx="32">
                  <c:v>2021</c:v>
                </c:pt>
                <c:pt idx="36">
                  <c:v>2022</c:v>
                </c:pt>
              </c:numCache>
            </c:numRef>
          </c:cat>
          <c:val>
            <c:numRef>
              <c:f>Sheet1!$F$2:$F$41</c:f>
              <c:numCache>
                <c:formatCode>General</c:formatCode>
                <c:ptCount val="40"/>
                <c:pt idx="0">
                  <c:v>1.721055</c:v>
                </c:pt>
                <c:pt idx="1">
                  <c:v>1.1499999999999999</c:v>
                </c:pt>
                <c:pt idx="2">
                  <c:v>0.88893800000000001</c:v>
                </c:pt>
                <c:pt idx="3">
                  <c:v>0.79534000000000005</c:v>
                </c:pt>
                <c:pt idx="4">
                  <c:v>1.1874370000000001</c:v>
                </c:pt>
                <c:pt idx="5">
                  <c:v>0.94571499999999997</c:v>
                </c:pt>
                <c:pt idx="6">
                  <c:v>1.0461389999999999</c:v>
                </c:pt>
                <c:pt idx="7">
                  <c:v>1.0392710000000001</c:v>
                </c:pt>
                <c:pt idx="8">
                  <c:v>1.0709439999999999</c:v>
                </c:pt>
                <c:pt idx="9">
                  <c:v>0.98569099999999998</c:v>
                </c:pt>
                <c:pt idx="10">
                  <c:v>0.79973499999999997</c:v>
                </c:pt>
                <c:pt idx="11">
                  <c:v>0.98874700000000004</c:v>
                </c:pt>
                <c:pt idx="12">
                  <c:v>1.283873</c:v>
                </c:pt>
                <c:pt idx="13">
                  <c:v>1.035061</c:v>
                </c:pt>
                <c:pt idx="14">
                  <c:v>1.1202259999999999</c:v>
                </c:pt>
                <c:pt idx="15">
                  <c:v>0.96320399999999995</c:v>
                </c:pt>
                <c:pt idx="16">
                  <c:v>1.252284</c:v>
                </c:pt>
                <c:pt idx="17">
                  <c:v>1.387</c:v>
                </c:pt>
                <c:pt idx="18">
                  <c:v>1.620125</c:v>
                </c:pt>
                <c:pt idx="19">
                  <c:v>1.7451669999999999</c:v>
                </c:pt>
                <c:pt idx="20">
                  <c:v>1.852989</c:v>
                </c:pt>
                <c:pt idx="21">
                  <c:v>1.1593659999999999</c:v>
                </c:pt>
                <c:pt idx="22">
                  <c:v>1.1979329999999999</c:v>
                </c:pt>
                <c:pt idx="23">
                  <c:v>1.1282760000000001</c:v>
                </c:pt>
                <c:pt idx="24">
                  <c:v>1.0532220000000001</c:v>
                </c:pt>
                <c:pt idx="25">
                  <c:v>1.0563849999999999</c:v>
                </c:pt>
                <c:pt idx="26">
                  <c:v>0.86053800000000003</c:v>
                </c:pt>
                <c:pt idx="27">
                  <c:v>0.94187900000000002</c:v>
                </c:pt>
                <c:pt idx="28">
                  <c:v>0.53947900000000004</c:v>
                </c:pt>
                <c:pt idx="29">
                  <c:v>0.77029999999999998</c:v>
                </c:pt>
                <c:pt idx="30">
                  <c:v>0.72139200000000003</c:v>
                </c:pt>
                <c:pt idx="31">
                  <c:v>0.91394299999999995</c:v>
                </c:pt>
                <c:pt idx="32">
                  <c:v>0.95280900000000002</c:v>
                </c:pt>
                <c:pt idx="33">
                  <c:v>0.72868900000000003</c:v>
                </c:pt>
                <c:pt idx="34">
                  <c:v>0.73086600000000002</c:v>
                </c:pt>
                <c:pt idx="35">
                  <c:v>0.85584199999999999</c:v>
                </c:pt>
                <c:pt idx="36">
                  <c:v>0.81532400000000005</c:v>
                </c:pt>
                <c:pt idx="37">
                  <c:v>0.70800200000000002</c:v>
                </c:pt>
                <c:pt idx="38">
                  <c:v>0.702183</c:v>
                </c:pt>
                <c:pt idx="39">
                  <c:v>0.55178899999999997</c:v>
                </c:pt>
              </c:numCache>
            </c:numRef>
          </c:val>
          <c:smooth val="0"/>
          <c:extLst>
            <c:ext xmlns:c16="http://schemas.microsoft.com/office/drawing/2014/chart" uri="{C3380CC4-5D6E-409C-BE32-E72D297353CC}">
              <c16:uniqueId val="{00000004-E782-4234-A68C-57D7EC1FE235}"/>
            </c:ext>
          </c:extLst>
        </c:ser>
        <c:dLbls>
          <c:showLegendKey val="0"/>
          <c:showVal val="0"/>
          <c:showCatName val="0"/>
          <c:showSerName val="0"/>
          <c:showPercent val="0"/>
          <c:showBubbleSize val="0"/>
        </c:dLbls>
        <c:marker val="1"/>
        <c:smooth val="0"/>
        <c:axId val="405734000"/>
        <c:axId val="405733216"/>
      </c:lineChart>
      <c:catAx>
        <c:axId val="40573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733216"/>
        <c:crosses val="autoZero"/>
        <c:auto val="1"/>
        <c:lblAlgn val="ctr"/>
        <c:lblOffset val="100"/>
        <c:noMultiLvlLbl val="0"/>
      </c:catAx>
      <c:valAx>
        <c:axId val="405733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73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H1xJqa5s4P+OxfbehYQ/4Wfg9Q==">CgMxLjAyCGguZ2pkZ3hzMgloLjFmb2I5dGUyCGguZ2pkZ3hzMg5oLnJxOXhqY3Y5aXA1aDIOaC45eXBod3U1Zm96MmMyDmguYmZydTZxMWVjNHJ4MgloLjMwajB6bGwyCWguMWZvYjl0ZTIJaC4zem55c2g3OABqJQoUc3VnZ2VzdC5nYmJmYTN2aDJheGcSDUVrbyBTdW1hcnRvbm9qJQoUc3VnZ2VzdC45aXBxMGZlMmt6Z3cSDUVrbyBTdW1hcnRvbm9qJQoUc3VnZ2VzdC50YWR2Y2pzaDVsODcSDUVrbyBTdW1hcnRvbm9qJQoUc3VnZ2VzdC52ZXhxb2xuZWR4ajISDUVrbyBTdW1hcnRvbm9qJQoUc3VnZ2VzdC53MnV1cmF5Z3owdDESDUVrbyBTdW1hcnRvbm9yITFweW4ydVlpeGl0S0lvTFFuZ0NqeVFyODNfMVJtMFVz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82371A-7A84-4E7F-A68B-B6C8E682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3634</Words>
  <Characters>20718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Ketut</dc:creator>
  <cp:keywords/>
  <dc:description/>
  <cp:lastModifiedBy>ASUS OHS 2021</cp:lastModifiedBy>
  <cp:revision>3</cp:revision>
  <dcterms:created xsi:type="dcterms:W3CDTF">2024-05-15T08:51:00Z</dcterms:created>
  <dcterms:modified xsi:type="dcterms:W3CDTF">2024-05-15T08:59:00Z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561C07CC5CCD4814A9F95197C9A1C1C2_12</vt:lpwstr>
  </property>
</Properties>
</file>